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E-3091/2009 vom 9. September 2010</w:t>
      </w:r>
    </w:p>
    <w:p>
      <w:r>
        <w:t>Bundesverwaltungsgericht, 2010-09-09, DE</w:t>
      </w:r>
    </w:p>
    <w:p>
      <w:r>
        <w:rPr>
          <w:b/>
        </w:rPr>
        <w:t xml:space="preserve">Quelle: </w:t>
      </w:r>
      <w:r>
        <w:t>https://mcp.opencaselaw.ch/entscheid/bvger_E-3091_2009</w:t>
      </w:r>
    </w:p>
    <w:p>
      <w:r>
        <w:t>FR: TAF E-3091/2009 du 9 septembre 2010</w:t>
      </w:r>
    </w:p>
    <w:p>
      <w:r>
        <w:t>IT: TAF E-3091/2009 del 9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ihrer ablehnenden Verfügung vom 21. April 2009 aus, die Angaben der Beschwerde-führerin, wonach sie (...) mit ihrem Ehemann und den beiden Kindern nach Kosovo ins Dorf B._______, Gemeinde D._______, gezogen und dort bis am (...) beim Onkel ihres Mannes gelebt habe, seien als tatsachenwidrig zu qualifizieren und nicht glaubhaft. Die Abklärungen der Schweizerischen Vertretung in Pristina, Kosovo, hätten nämlich ergeben, dass ihr Ehemann nie in B._______ gelebt und sich nur zu Urlaubszwecken in Kosovo aufgehalten habe. Aufgrund dessen seien die geltend gemachten Bedrohungen und ihre erfolglosen Anzeigen bei der Polizei in D._______ nicht glaubhaft und würden den Abklärungsergebnissen widersprechen. Zudem seien ihre Vorbringen teilweise widersprüchlich, auch im Vergleich zu den Aussagen ihres Ehemannes. Sodann seien die Angaben auch deshalb nicht glaubhaft, weil die Beschwerdeführerin weder bei der Erstbefragung noch bei der direkten Bundesanhörung irgendeinen Hinweis über die damaligen Kriegswirren in Kosovo zu Protokoll gegeben habe. Weiter habe sich die Polizei angeblich geweigert, eine Anzeige entgegenzunehmen, weil die Beschwerdeführerin mit einem Roma verheiratet sei. Dies sei jedoch unglaubhaft, da vom Vorhandensein eines adäquaten Schutzes in Kosovo auszugehen sei. Die internationalen Streitkräfte und der Kosovo Police Service (KPS) seien in der Lage, die ethnischen Minderheiten in Kosovo zu schützen. Die polizeiliche Präsenz sei gut sichtbar sowie flächendeckend; die Strafgerichtsbarkeit und der Strafvollzug würden gut funktionieren. Da die Beschwerdeführerin die Flüchtlingseigenschaft nicht erfüllen würde, könne auch der Grundsatz der Nichtrückschiebung gemäss Art. 5 Abs. 1 AsylG nicht angewandt werden. Fernen würden sich aus den Akten keine Anhaltspunkte dafür ergeben, dass ihr im Falle einer Rückkehr in die Republik Serbien mit beachtlicher Wahrscheinlichkeit eine durch Art. 3 EMRK verbotene Strafe oder Behandlung drohe. Sodann würden weder die in der Republik Serbien herrschende politische Lage noch individuelle Gründe gegen die Zumutbarkeit der Rückführung in den Heimatstaat sprechen. Ausserdem sei der Vollzug der Wegweisung technisch möglich und praktisch durchführbar.</w:t>
      </w:r>
    </w:p>
    <w:p>
      <w:r>
        <w:rPr>
          <w:b/>
        </w:rPr>
        <w:t>E. 3.2</w:t>
      </w:r>
    </w:p>
    <w:p>
      <w:r>
        <w:t>In der Beschwerde vom 12. Mai 2009 und der entsprechenden Ergänzung vom 29. Mai 2009 wird der Argumentation der Vorinstanz entgegengehalten, dass Widersprüche bei der Schilderung trauma-tischer Erlebnisse kein Grund seien, von der Unglaubhaftigkeit der Angaben auszugehen. Solche Erfahrungen seien schwierig zu verar-beiten. Die Beschwerdeführerin habe massiv unter ihrem Vater gelitten. Er habe gewusst, dass sie verheiratet sei, doch habe er erst davon erfahren, dass es sich bei ihrem Ehemann um einen Ashkali handle, als sie zu ihm gegangen sei. Ihr Vater habe sie dazu gezwungen, ihr Kind abzutreiben. Wenn sie es unterlassen habe, etwas zu erzählen, was allgemein bekannt und nicht Gegenstand des Asylverfahrens sei, dann könne nicht von einem Widerspruch ausge-gangen werden. Ihr Asylgesuch habe mit den Kriegswirren in Kosovo nichts zu tun; deshalb habe sie nichts davon erzählt. Der entsprechen-de Vorwurf des BFM sei völlig unberechtigt. Sodann sei sie nicht der Ansicht, dass systematisch von der rechtmässigen Aufnahme von ge-meldeten Überfällen in Kosovo ausgegangen werden könne. Von dieser idealen Situation könne nicht mal in der Schweiz ausgegangen werden. Weiter werde auf die Ausführungen in der Beschwerdeschrift ihres Ehemannes verwiesen.</w:t>
      </w:r>
    </w:p>
    <w:p>
      <w:r>
        <w:rPr>
          <w:b/>
        </w:rPr>
        <w:t>E. 4.1</w:t>
      </w:r>
    </w:p>
    <w:p>
      <w:r>
        <w:t>Das Bundesamt stützt seinen ablehnenden Entscheid vor allem darauf ab, dass die Vorbringen der Beschwerdeführerin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Einzelheiten vorgebracht und Nebensäch-lichkeiten berichtet werden (Rolf Bender/Armin Nack/Wolf-Dieter Treuer, Tatsachenfeststellung vor Gericht, 3. Auflage, München 2007, S. 72 ff.).</w:t>
      </w:r>
    </w:p>
    <w:p>
      <w:r>
        <w:rPr>
          <w:b/>
        </w:rPr>
        <w:t>E. 4.2</w:t>
      </w:r>
    </w:p>
    <w:p>
      <w:r>
        <w:t>Sodann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 zumindest ansatzweise -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Ebenso wie die Vorinstanz geht auch das Bundesverwaltungsge-richt davon aus, dass die Beschwerdeführerin zum heutigen Zeitpunkt in ihrem Heimatland nicht in asylrelevanter Weise gefährdet ist. Vorderhand ist auf den Bericht der Schweizerischen Vertretung vom 10. Juli 2008 hinzuweisen: Demnach würden der Ehemann der Beschwerdeführerin und ihr Schwager zur Ethnie der Ägypter gehören. Ihre Eltern hätten den Ort B._______ vor über (...) Jahren verlassen und seither in C._______, Republik Serbien gelebt. Sie selber hätten somit nie in Kosovo gelebt, sondern bloss regelmässig Verwandtschaftsbesuche gemacht. Dieses Abklärungsergebnis widerspricht eindeutig den Aussagen der Beschwerdeführerin. Deren Glaubwürdigkeit ist demzufolge bereits deshalb in Frage gestellt. Und noch wenn der obgenannte Bericht zu einem falschen Ergebnis gekommen sein sollte, wie im Rechtsmittelverfahren geltend gemacht, so ist festzustellen, dass sich in den jeweiligen Protokollen mehrere widersprüchliche Angaben befinden. Der Schwager der Beschwerdeführerin gab anlässlich der summarischen Befragung im Empfangs- und Verfahrenszentrum Kreuzlingen vom 28. Februar 2008 beispielsweise an, er habe seit dem Jahre (...) oder (...) in B._______ gewohnt; vorher habe er in C._______ gelebt. Ausschlaggebend für den Umzug sei gewesen, dass der Vater von dessen Arbeitgeber entlassen worden sei (Akten BFM N 506 297 A1/12 S. 1 und 2). Der Ehemann der Beschwerdeführerin gab gleichentags an, im Jahre (...) nach B._______ zurückgekehrt zu sein, weil die Familie in C._______ als Kosovaren beschimpft worden seien (Akten BFM N 506 296 A1/12 S. 1 und 2). Die Beschwerdeführerin selber sagte hingegen aus, sie sei mit ihrem Ehemann und den Kindern bereits im Jahre (...) nach Kosovo zurückgekehrt (Akten BFM N 506 296 A39/20 S. 8). Sodann sind die Angaben auch hinsichtlich der eigentlichen Asylvorbringen nicht übereinstimmend. Anlässlich der summarischen Befragung im Empfangs- und Verfahrenszentrum Kreuzlingen vom 28. Februar 2008 gab der Schwager der Beschwerdeführerin zu Protokoll, er wisse nicht, wann bei der Polizei Anzeige erstattet worden sei; sein Bruder sei jeweils hingegangen, er selber sei nie bei der Polizei gewesen (Akten BFM N 506 297 A1/12 S. 7). Gleichentags sagte der Ehemann der Beschwerdeführerin dagegen aus, sein Bruder habe ihn bei der Erstattung der Anzeigen manchmal begleitet (Akten BFM N 506 296 A1/12 S. 8). Der in den Rechmitteleingaben vorgebrachte Einwand, wonach die mangelnde Schulbildung für die obgenannten Wider-sprüche ursächlich sei, vermag nicht zu überzeugen. Schliesslich handelt es sich um einfach zu beantwortende Fragen, für deren Beantwortung es erfahrungsgemäss keiner besonderen Bildung bedarf. Die Beschwerdeführerin macht vorliegend eine Verfolgung durch Private geltend. Eine solche ist jedoch nur unter gewissen Voraus-setzungen flüchtlingsrechtlich relevant. Aufgrund der Subsidiarität des flüchtlingsrechtlichen Schutzes erfüllt die Flüchtlingseigenschaft nämlich nicht, wer in seinem Heimatland Schutz vor nichtstaatlicher Verfolgung finden kann. Dieser ist als ausreichend zu qualifizieren, wenn die betroffene Person effektiv Zugang zu einer funktionierenden Schutz-Infrastruktur hat und ihr die Inanspruchnahme eines solchen innerstaatlichen Schutzsystems auch individuell zumutbar ist (EMARK 2006 Nr. 18). Hierbei ist festzuhalten, dass die Polizeikräfte in Kosovo Übergriffen durch Drittpersonen nachgehen und verdächtige Personen der Justiz zuführen (Zur Frage der Schutzgewährung durch internationale Organisationen in Kosovo vgl. BVGE 2007/31 E. 5.3 S. 380, EMARK 2002 Nrn. 8 und 21). Sollte sich die Polizei in Kosovo dennoch weigern, eine entsprechende Anzeige der Beschwerde-führerin entgegenzunehmen, so stünde ihr und ihrer Familie sodann die Möglichkeit offen, nach Serbien umzuziehen. Die während des Rechtsmittelverfahrens eingereichten Dokumente (insbesondere Vorladungen und Strafbefehle) stehen dem nicht entgegen. Schliesslich liesse sich daraus keine Verfolgung im Sinne von Art. 3 AsylG ableiten, da es sich um legitime staatliche Massnahmen der Strafverfolgung handelt. Zu berücksichtigen ist weiter, dass - insbesondere bei diffusen Bedrohungslagen - kein Staat die Sicherheit aller seiner Einwohner jederzeit und überall zu garantieren vermag. Verwiesen sei ausserdem auf den Umstand, dass sowohl die Republik Serbien als auch Kosovo seit dem Beschluss des Bundesrates vom 6. März 2009 als verfolgungssichere Staaten (sog. save countries) gelten.</w:t>
      </w:r>
    </w:p>
    <w:p>
      <w:r>
        <w:rPr>
          <w:b/>
        </w:rPr>
        <w:t>E. 4.4</w:t>
      </w:r>
    </w:p>
    <w:p>
      <w:r>
        <w:t>Das BFM hat somit das Asylgesuch der Beschwerdeführerin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die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6.2.1</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die Republik Serbien oder nach Kosovo ist demnach unter dem Aspekt von Art. 5 AsylG rechtmässig. Sodann ergeben sich weder aus den Aussagen der Beschwerdeführerin noch aus den Akten Anhaltspunkte dafür, dass sie für den Fall einer Ausschaffung in die Republik Serbien oder nach Kosovo mit beachtlicher Wahrscheinlichkeit einer nach Art. 3 EMRK oder Art. 1 FoK verbotenen Strafe oder Behandlung ausgesetzt wäre.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in der Republik Serbien und in Kosovo lassen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6.3.1</w:t>
      </w:r>
    </w:p>
    <w:p>
      <w:r>
        <w:t>In Serbien herrscht keine Situation allgemeiner Gewalt aufgrund derer die Bevölkerung generell als konkret gefährdet betrachtet werden müsste. Zwar können Übergriffe von Privatpersonen auf Angehörige der ethnischen Minderheiten und teilweise behördliche Schikanen sowie Diskriminierungen nicht völlig ausgeschlossen werden, indessen erreichen diese im Allgemeinen nicht ein Ausmass, das den Vollzug der Wegweisung als unzumutbar erscheinen liesse. Auch in Anbetracht der persönlichen Situation der jungen Beschwerdeführerin wird nicht ersichtlich, inwiefern sie im Falle der Rückkehr nach Serbien aus individuellen Gründen wirtschaftlicher, sozialer oder gesundheitlicher Natur in eine existenzbedrohende Situation geraten könnte.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 EMARK 2003 Nr. 24 E. 5e S. 159). Gemäss konstanter Rechtsprechung der ARK, welche vom Bundesverwaltungsgerichts weitergeführt wird, bildet im Rahmen der Zumutbarkeitsprüfung das Kindswohl einen Gesichtspunkt von gewichtiger Bedeutung, falls Kinder von einem Wegweisungsvollzug betroffen sind.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können namentlich folgende Kriterien im Rahmen einer gesamt-heitlichen Beurteilung von Bedeutung sein: Alter, Reife, Abhängig-keiten, Art seiner Beziehungen (Nähe, Intensität, Tragfähigkeit), Eigen-schaften seiner Bezugsperson (insbesondere Unterstützungs-bereitschaft und -fähigkeit), Stand und Prognose bezüglich Entwicklung/Ausbildung, Grad der erfolgten Integration bei einem längeren Aufenthalt in der Schweiz usw. (vgl. EMARK 2005 Nr. 6 E. 6.2. S. 57 f.). Gerade der letzte Aspekt, nämlich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Vorliegend ist diesbezüglich festzuhalten, dass sich die Kinder der Be-schwerdeführerin (X._______, Jahrgang [...] und Y._______, Jahrgang [...]) erst seit etwas mehr als einem Jahr in der Schweiz aufhalten und den grössten Teil ihres Lebens demnach in der Republik Serbien verbracht haben. Von einer Verwurzelung in der Schweiz kann somit nicht ausgegangen werden. Eine Reintegration in ihrem Heimatland sollte ihnen demzufolge möglich sein. Der Vollzug der Wegweisung erweist sich daher auch unter diesem Gesichtspunkt als zumutbar.</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Ver-fügunge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des Verfahrens den Beschwerdeführenden aufzuerlegen (Art. 63 Abs. 1 und 5 VwVG; Art. 2 und Art. 3 Bst. b des Reglements vom 21. Februar 2008 über die Kosten und Entschädigungen vor dem Bundesverwaltungsgericht [VGKE, SR 173.320.2]). In Gutheissung des Gesuchs um unent-geltliche Rechtspflege wird jedoch auf die Erhebung von Verfahrens-kosten praxisgemäss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