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E-3086/2022 vom 10. Juni 2022</w:t>
      </w:r>
    </w:p>
    <w:p>
      <w:r>
        <w:t>Bundesverwaltungsgericht, 2022-06-10, DE</w:t>
      </w:r>
    </w:p>
    <w:p>
      <w:r>
        <w:rPr>
          <w:b/>
        </w:rPr>
        <w:t xml:space="preserve">Quelle: </w:t>
      </w:r>
      <w:r>
        <w:t>https://mcp.opencaselaw.ch/entscheid/bvger_E-3086_2022_d20220610</w:t>
      </w:r>
    </w:p>
    <w:p>
      <w:r>
        <w:t>FR: TAF E-3086/2022 du 10 juin 2022</w:t>
      </w:r>
    </w:p>
    <w:p>
      <w:r>
        <w:t>IT: TAF E-3086/2022 del 10 giugno 2022</w:t>
      </w:r>
    </w:p>
    <w:p>
      <w:pPr>
        <w:pStyle w:val="Heading2"/>
      </w:pPr>
      <w:r>
        <w:t>Regeste</w:t>
      </w:r>
    </w:p>
    <w:p>
      <w:r>
        <w:t>Asyl und Wegweisung | Asyl und Wegweisung; Verfügung des SEM vom 10.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E-3086/2022 Seite 5 Gestützt auf Art. 111a Abs. 1 AsylG wurde auf die Durchführung eines Schriftenwechsels verzichtet.</w:t>
      </w:r>
    </w:p>
    <w:p>
      <w:r>
        <w:rPr>
          <w:b/>
        </w:rPr>
        <w:t>E. 4</w:t>
      </w:r>
    </w:p>
    <w:p>
      <w:r>
        <w:t>Soweit die Beschwerdeführerin subeventualiter die Rückweisung der Sa- che beantragt, da die Vorinstanz es unterlassen habe, die geschäftlichen Beziehungen der Beschwerdeführerin genügend abzuklären und sich auf Mutmassungen über ihre Tätigkeiten gestützt habe, ist Folgendes festzu- halten:</w:t>
      </w:r>
    </w:p>
    <w:p>
      <w:r>
        <w:rPr>
          <w:b/>
        </w:rPr>
        <w:t>E. 4.1</w:t>
      </w:r>
    </w:p>
    <w:p>
      <w:r>
        <w:t>Das Verfahren nach dem VwVG wird vom Untersuchungsgrundsatz (Art. 12 VwVG) beherrscht. Als Verfahrensmaxime besagt dieser, dass die Verwaltungsbehörden für die Beschaffung des die Urteilsgrundlage bilden- den Tatsachenmaterials zuständig sind. Er auferlegt der Behörde die Pflicht, von Amtes wegen den rechtserheblichen Sachverhalt vollständig und richtig zu ermitteln, und beinhaltet gewissermassen eine Art «behörd- liche Beweisführungspflicht» (vgl. KRAUSKOPF/EMMENEGGER/BABEY, in: Praxiskommentar VwVG, Waldmann/Weissenberger [Hrsg.], 2. Auflage 2016, Art. 12 Rz. 16). Der Untersuchungsgrundsatz findet seine Grenze an der gesetzlichen Mitwirkungspflicht der Parteien (Art. 13 VwVG und Art. 8 AsylG).</w:t>
      </w:r>
    </w:p>
    <w:p>
      <w:r>
        <w:rPr>
          <w:b/>
        </w:rPr>
        <w:t>E. 4.2</w:t>
      </w:r>
    </w:p>
    <w:p>
      <w:r>
        <w:t>Nach Auffassung des Gerichts hat die Vorinstanz diesen verfahrens- rechtlichen Anforderungen im vorliegenden Verfahren Genüge getan:</w:t>
      </w:r>
    </w:p>
    <w:p>
      <w:r>
        <w:rPr>
          <w:b/>
        </w:rPr>
        <w:t>E. 4.2.1</w:t>
      </w:r>
    </w:p>
    <w:p>
      <w:r>
        <w:t>Das SEM hat den rechtserheblichen Sachverhalt hinreichend abge- klärt. Es ist nicht ersichtlich, im welcher Hinsicht hier noch konkrete weitere Abklärungen vorgenommen werden müssten. Es ist demnach keine Ver- letzung des Untersuchungsgrundsatzes festzustellen.</w:t>
      </w:r>
    </w:p>
    <w:p>
      <w:r>
        <w:rPr>
          <w:b/>
        </w:rPr>
        <w:t>E. 4.2.2</w:t>
      </w:r>
    </w:p>
    <w:p>
      <w:r>
        <w:t>Es ist auch nicht ersichtlich, dass die Vorinstanz sich auf Mutmassun- gen gestützt hätte. Der blosse Umstand, dass die Beschwerdeführerin die vom SEM gezogenen Schlüsse nicht teilt, stellt im Übrigen eine (im Fol- genden inhaltlich zu überprüfende) materielle Frage dar.</w:t>
      </w:r>
    </w:p>
    <w:p>
      <w:r>
        <w:rPr>
          <w:b/>
        </w:rPr>
        <w:t>E. 4.3</w:t>
      </w:r>
    </w:p>
    <w:p>
      <w:r>
        <w:t>Die verfahrensrechtliche Rüge der Beschwerdeführerin erweist sich als unbegründet. Der Eventualantrag auf Rückweisung der Sache an die Vor- instanz zur Neubeurteilung ist folglich abzuweisen.</w:t>
      </w:r>
    </w:p>
    <w:p>
      <w:r>
        <w:rPr>
          <w:b/>
        </w:rPr>
        <w:t>E. 5.1</w:t>
      </w:r>
    </w:p>
    <w:p>
      <w:r>
        <w:t>Gemäss Art. 2 Abs. 1 AsylG gewährt die Schweiz Flüchtlingen grund- sätzlich Asyl. Flüchtlinge sind Personen, die in ihrem Heimatstaat oder im</w:t>
      </w:r>
    </w:p>
    <w:p>
      <w:r>
        <w:t>E-3086/2022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der Vorbringen in verschiedenen Entscheiden dargelegt und folgt dabei ständiger Praxis. Darauf kann hier verwiesen werden (vgl. BVGE 2015/3 E. 6.5.1; vgl. auch Urteil des BVGer D-2282/2018 vom 5. Ap- ril 2019 E. 5.1).</w:t>
      </w:r>
    </w:p>
    <w:p>
      <w:r>
        <w:rPr>
          <w:b/>
        </w:rPr>
        <w:t>E. 6.1</w:t>
      </w:r>
    </w:p>
    <w:p>
      <w:r>
        <w:t>Die Vorinstanz begründet ihre Verfügung damit, es könne nicht ge- glaubt werden, dass der Beschwerdeführerin im Iran eine staatliche Verfol- gung wegen Unterstützung der liberal-demokratischen Partei und ihrer Be- ziehung mit einem führenden Mitglied dieser Partei drohe. So seien ihre Angaben zur vorgebrachten Unterstützung dieser Partei sowie das Verhal- ten ihrer Schwester und ihres Freundes im Anschluss an die von der Be- schwerdeführerin geltend gemachten, dreitägigen, äussert einschneiden- den beziehungsweise schwer traumatisierenden Haft und Misshandlung mit der allgemeinen Erfahrung und der Logik des Handelns schwer zu ver- einbaren. Weiter sei die Anzahl Überstunden, die sie gemäss den Visums- unterlagen in den Monaten Shariwar (August/September) und Mehr (Sep- tember/Oktober) geleistet haben wolle, – die diesbezüglichen Lohnabrech- nungen enthielten keinen Hinweis auf eine Krankheit – mit ihren Aussagen, wonach sie nach ihrer Haft krank gewesen sei, nicht konsistent. Ihrer in der ergänzenden Anhörung gemachten Darstellung, wonach ihre Freunde in der Firma für sie vorteilhafte Abrechnungen an die Versicherung weiterge- leitet hätten und ihre Anwesenheit vor Ort nicht erforderlich gewesen sei,</w:t>
      </w:r>
    </w:p>
    <w:p>
      <w:r>
        <w:t>E-3086/2022 Seite 7 sei entgegenzuhalten, dass sie in der Anhörung die Korrektheit der einge- reichten Visumsunterlagen explizit bestätigt habe. Weiter seien ihre Schil- derungen, wie sie von der Festnahme und vom Tod ihres Freundes sowie vom Verschwinden ihrer Schwester erfahren habe, detailarm und wenig konkret. Auch ihre Angaben zu ihren eigenen Reaktionen und denjenigen ihres Umfelds auf diese Ereignisse liessen Substanz und Einzelheiten ver- missen. Ferner wäre in Anbetracht der Situation (Festnahme und Tod ihres Freundes und Festnahme sowie Verschwinden ihrer Schwester) von ihr zu erwarten gewesen, dass sie nichts unversucht lasse, um an weitere Infor- mationen zu gelangen. Die schrittweise Preisgabe von knappen Informati- onen lege nahe, dass sie nicht über tatsächlich Vorgefallenes berichtet, sondern einen erfundenen Sachverhalt allmählich ergänzt habe. Im Weite- ren sei mit der allgemeinen Erfahrung und Logik des Handelns schwer zu vereinbaren, dass ihre Schwester trotz mehrfachen Warnungen und ihren Befürchtungen um die Beschwerdeführerin nach Hause gegangen sei, um Dokumente und Geld zu holen. Schliesslich führte die Vorinstanz aus, die Aussagen der Beschwerdeführerin zur liberal-demokratischen Partei seien vage und stereotyp ausgefallen. Diese würden nicht über den kurzen Wi- kipedia-Eintrag zu dieser Partei auf Farsi hinausgehen. Von einer Person, die während vier oder viereinhalb Jahren eine Partei unterstütze und mit einem führenden Mitglied der Partei eine Beziehung gelebt haben wolle, wäre mehr Spezialwissen zu erwarten gewesen. Ihre Motivation für die Un- terstützung der Partei sei ebenfalls kurz und vage ausgefallen. Ihre oppo- sitionelle Haltung alleine erkläre weder ihre Unterstützung, noch weshalb sie diese monarchistische und nicht eine Bewegung mit anderer ideologi- scher Ausrichtung unterstützt haben solle. Zudem wirke ihre Kontaktlosig- keit zu anderen Parteimitgliedern vorgeschoben respektive nicht nachvoll- ziehbar. Zwar sei die Einschränkung der Kontakte in einer geheimen Orga- nisation zwecks Risikobegrenzung nachvollziehbar, unter Berücksichti- gung ihrer übrigen Aussagen sei der Sicherheitsaspekt jedoch kein taugli- ches Argument für die angeblich fehlenden Kontakte. Es überrasche zu- dem, dass sie nie eine Versammlung besucht, den Arbeitsort der Partei nie betreten und (…) und (…) lediglich bis zur Tür gebracht haben wolle. Schliesslich habe sie zu ihrer Erwerbstätigkeit widersprüchliche Angaben gemacht. Ihre Arbeit sei insofern relevant, als sie eine staatliche Verfolgung im Iran unter anderem aufgrund ihrer Unterstützung der Partei mit Material aus ihrem Geschäft geltend mache. Ihre Tätigkeit für die Firma G._______ habe sie zunächst nicht erwähnt. Aus den Visumsunterlagen gehe hervor, dass sie 50% der Anteile der Firma G._______ halte. Gestützt auf weitere Angaben betreffend ihre Tätigkeit bei dieser Firma (Geschäftsführerin und Mitglied des Verwaltungsrates, Vollzeitbeschäftigung, Warenbestellungen,</w:t>
      </w:r>
    </w:p>
    <w:p>
      <w:r>
        <w:t>E-3086/2022 Seite 8 etc.) bestünden erhebliche Zweifel an ihrer Darstellung zu ihrer jahrelan- gen Unterstützung der Partei mit Material aus dem (andern) Geschäft H._______, deren Hauptinvestorin sie sei.</w:t>
      </w:r>
    </w:p>
    <w:p>
      <w:r>
        <w:rPr>
          <w:b/>
        </w:rPr>
        <w:t>E. 6.2</w:t>
      </w:r>
    </w:p>
    <w:p>
      <w:r>
        <w:t>Die Beschwerdeführerin führt demgegenüber aus, sie habe stimmige Aussagen zu den Zusammenhängen der Partei, der Kontakte ihres Freun- des und ihrer eigenen aktiven Unterstützung gemacht. Ihr Freund habe we- nig über die Partei erzählt, um sie nicht zu gefährden. Sie habe sich nur im Hintergrund betätigt und sei nicht aufgefallen. Ihre frühere Festnahme habe sie auf den Umstand zurückgeführt, dass sie als Frau alleine unter- wegs gewesen sei. Für sie habe es keinen Grund gegeben, die Schikane der Verhaftung mit ihrem Freund oder der Unterstützung der Partei in Ver- bindung zu bringen, weshalb weder dieser noch ihre Schwester sich dadurch gefährdet gefühlt hätten. Erst als sie (die Beschwerdeführerin) vom Tod C._______ erfahren habe, habe sie die tatsächliche Gefahr er- kannt. Zudem sei ihre Schwester erst nach dem Tod ihres Freundes unter- getaucht.</w:t>
      </w:r>
    </w:p>
    <w:p>
      <w:r>
        <w:rPr>
          <w:b/>
        </w:rPr>
        <w:t>E. 7.1</w:t>
      </w:r>
    </w:p>
    <w:p>
      <w:r>
        <w:t>Das Bundesverwaltungsgericht gelangt nach Prüfung der Akten zum Schluss, dass die Vorinstanz zu Recht die Flüchtlingseigenschaft der Be- schwerdeführerin verneint und folglich ihr Asylgesuch abgelehnt hat. Die Ausführungen in der Beschwerdeschrift vermögen den Erwägungen des SEM nichts Stichhaltiges entgegenzusetzen. Es kann vorab vollumfänglich auf die Erwägungen der angefochtenen Verfügung (vgl. E. 6.1 hievor) so- wie die in der Zwischenverfügung vom 25. Juli 2022 gemachte Einschät- zung durch das Bundesverwaltungsgericht verwiesen werden.</w:t>
      </w:r>
    </w:p>
    <w:p>
      <w:r>
        <w:rPr>
          <w:b/>
        </w:rPr>
        <w:t>E. 7.2</w:t>
      </w:r>
    </w:p>
    <w:p>
      <w:r>
        <w:t>Insbesondere erweist sich der Erklärungsversuch der Beschwerdefüh- rerin zur liberal-demokratischen Partei als vage und stereotyp und damit unglaubhaft. Wie in der Zwischenverfügung vom 25. Juli 2022 ausgeführt, handelt es sich bei den wenigen Informationen der Beschwerdeführerin zur Partei um solche, die mit einer Internet-Recherche einfach zu ermitteln sind. Bezeichnenderweise hat sie auch erst auf Beschwerdeebene die ge- naue Bezeichnung dieser Partei (Constitutionalist Party of Iran, liberal-de- mokratische Verfassungspartei des Iran) wiedergeben können, wobei es sich um Wissen handelt, das sie sich offensichtlich nachträglich angeeignet hat. Aufgrund des Umstandes, dass sie immerhin vier oder viereinhalb Jahre die Partei unterstützt haben will, hätten von ihr weitergehende Aus- führungen zu ihrer Motivation und zur Partei erwartet werden dürfen. Wei-</w:t>
      </w:r>
    </w:p>
    <w:p>
      <w:r>
        <w:t>E-3086/2022 Seite 9 ter muss auch ihr Erklärungsversuch zu dem von der Vorinstanz festge- stellten Widerspruch betreffend ihre Arbeit im Zeitraum nach der geltend gemachten Inhaftierung – die Lohnabrechnungen respektive die darin ge- machten Bestätigungen zu ihrer Arbeitszeit seien von Leuten der Firma im Hinblick auf die Versicherung absichtlich vorteilhaft aufgeführt worden – als unbehelflicher Versuch gewertet werden, den Sachverhalt nachträglich an- zupassen. Bei der damaligen Anhörung hatte sie die Korrektheit der einge- reichten Visumsunterlagen nämlich mit einem klaren Ja beantwortet (vgl. A22 F44). Schliesslich vertritt auch das Gericht die Ansicht, dass die Be- schwerdeführerin ihre Tätigkeit für die H._______ in den Vordergrund ge- rückt hat, um die Unterstützung der Partei mit (…) und (…), mithin eine staatliche Verfolgungsgefahr plausibel zu machen. Es ist weiter nochmals zu betonen, dass von der Beschwerdeführerin bezüglich der angeblichen Festnahme ihrer Schwester gewisse Nachforschungen hätten erwartet werden dürfen, zumal sie mit deren Sohn in Kontakt steht. Dieser soll über- dies weiterhin in der Firma der Beschwerdeführerin arbeiten, weshalb diese wohl erfahren hätte, wenn es im Zusammenhang mit ihrer angebli- chen Tätigkeit Schwierigkeiten gegeben hätte. Insgesamt ist es der Be- schwerdeführerin damit nicht gelungen, eine Gefährdungslage vor ihrer Ausreise sowie eine Furcht vor zukünftiger Verfolgung durch die iranischen Behörden glaubhaft zu machen.</w:t>
      </w:r>
    </w:p>
    <w:p>
      <w:r>
        <w:rPr>
          <w:b/>
        </w:rPr>
        <w:t>E. 7.3</w:t>
      </w:r>
    </w:p>
    <w:p>
      <w:r>
        <w:t>Zusammenfassend hat die Beschwerdeführerin nichts vorgebracht, was geeignet wäre, ihre Flüchtlingseigenschaft nachzuweisen oder zumin- dest glaubhaft zu machen. Die Vorinstanz hat ihr Asylgesuch zu Recht ab- 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E-3086/2022 Seite 10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w:t>
      </w:r>
    </w:p>
    <w:p>
      <w:r>
        <w:t>E-3086/2022 Seite 11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Es gelang ihr aber nicht eine konkrete Gefährdung glaubhaft zu machen. Es bestehen auch keine Anhaltspunkte dafür, davon auszugehen, dass ihr bei der Rückkehr – wie angeblich nach ihrer D._______reise im Jahr 2021 bei der damaligen Wiedereinreise in den Iran – auch dieses Mal Haft oder Folter drohen könnte. Die allgemeine Men- schenrechtssituation im Heimatstaat lässt den Wegweisungsvollzug zum heutigen Zeitpunkt trotz der behördlichen Repression gegen aktuelle Pro- testbewegungen ebenfalls nicht als unzulässig erscheinen. Nach dem Ge- 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Vorab ist festzustellen, dass die im Iran herrschende allgemeine Lage sich nicht durch eine Situation allgemeiner Gewalt auszeichnet, obwohl die Staatsordnung als totalitär zu bezeichnen ist und die allgemeine Situation in verschiedener Hinsicht problematisch sein kann. Selbst unter Berück- sichtigung dieser Umstände wird der Vollzug von Wegweisungen in den Iran nach konstanter Praxis als grundsätzlich zumutbar erachtet (vgl. u.a. Urteile des BVGer E-5071/2018 vom 24. Oktober 2018 E. 11.3.1 sowie E- 623/2018 vom 28. Juni 2018 E. 8.3).</w:t>
      </w:r>
    </w:p>
    <w:p>
      <w:r>
        <w:rPr>
          <w:b/>
        </w:rPr>
        <w:t>E. 9.4.2</w:t>
      </w:r>
    </w:p>
    <w:p>
      <w:r>
        <w:t>Wie die Vorinstanz zutreffend ausgeführt hat, handelt es sich bei der Beschwerdeführerin um eine erfolgreiche Geschäftsfrau mit einem sozia- len und familiären Beziehungsnetz sowie ausreichend finanziellen Mitteln, so dass kein Grund zur Annahme besteht, dass sie nach der Rückkehr in den Iran in eine existenzbedrohende Lage geraten könnte. Dem hat die Beschwerdeführerin nichts entgegengesetzt, das zu einer anderen Beur- teilung führen könnte.</w:t>
      </w:r>
    </w:p>
    <w:p>
      <w:r>
        <w:t>E-3086/2022 Seite 12</w:t>
      </w:r>
    </w:p>
    <w:p>
      <w:r>
        <w:rPr>
          <w:b/>
        </w:rPr>
        <w:t>E. 9.4.3</w:t>
      </w:r>
    </w:p>
    <w:p>
      <w:r>
        <w:t>Schliesslich spricht auch aus medizinischer Sicht nichts gegen eine Rückkehr der Beschwerdeführerin. So ist festzustellen, dass sie in der ers- ten Anhörung geltend gemacht hat, bereits im Iran seit längerer Zeit wegen psychischen Beschwerden in ärztlicher Behandlung gewesen zu sein (vgl. A22 sowie medizinische Datenblätter). Es ist davon auszugehen, dass sie bei einer Rückkehr in den Iran medizinische und psychotherapeutische Be- handlung erhalten kann. Des Weiteren kann allfälligen spezifischen Bedürf- nissen der Beschwerdeführerin im Rahmen der medizinischen Rückkehr- hilfe Rechnung getragen werden (vgl. Art. 93 Abs. 1 Bst. d AsylG, Art. 75 der Asylverordnung 2 vom 11. August 1999 [AsylV 2, SR 142.312]). Schliesslich könnte sie sich mit den sie allenfalls behandelnden Ärzten in der Schweiz auf eine Rückkehr in den Heimatstaat vorbereiten. Einer mög- lichen vorübergehenden Verschlechterung des Gesundheitszustandes könnte durch entsprechende Ausgestaltung der Vollzugsmodalitäten Rech- nung getragen werden. Es ist deshalb nicht anzunehmen, eine Rückkehr in den Iran würde zu einer raschen und lebensgefährdenden Beeinträchti- gung ihres Gesundheitszustandes führen.</w:t>
      </w:r>
    </w:p>
    <w:p>
      <w:r>
        <w:rPr>
          <w:b/>
        </w:rPr>
        <w:t>E. 9.4.4</w:t>
      </w:r>
    </w:p>
    <w:p>
      <w:r>
        <w:t>Nach dem Gesagten erweist sich der Vollzug der Wegweisung auch als zumutbar.</w:t>
      </w:r>
    </w:p>
    <w:p>
      <w:r>
        <w:rPr>
          <w:b/>
        </w:rPr>
        <w:t>E. 9.5</w:t>
      </w:r>
    </w:p>
    <w:p>
      <w:r>
        <w:t>Schliesslich obliegt es der Beschwerdeführerin, die über einen irani- schen Reisepass verfügt, sich bei der zuständigen Vertretung des Heimat- 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der</w:t>
      </w:r>
    </w:p>
    <w:p>
      <w:r>
        <w:t>E-3086/2022 Seite 13 Beschwerdeführerin aufzuerlegen (Art. 63 Abs. 1 VwVG) und auf insge- samt Fr. 750.– festzusetzen (Art. 1–3 des Reglements vom 21. Februar 2008 über die Kosten und Entschädigungen vor dem Bundesverwaltungs- gericht [VGKE, SR 173.320.2]). Der in gleicher Höhe geleistete Kostenvor- schuss ist zur Bezahlung der Verfahrenskosten zu verwenden.</w:t>
      </w:r>
    </w:p>
    <w:p>
      <w:r>
        <w:t>(Dispositiv nächste Seite)</w:t>
      </w:r>
    </w:p>
    <w:p>
      <w:r>
        <w:t>E-3086/2022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