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E-3070/2012 vom 29. Januar 2014</w:t>
      </w:r>
    </w:p>
    <w:p>
      <w:r>
        <w:t>Bundesverwaltungsgericht, 2014-01-29, DE</w:t>
      </w:r>
    </w:p>
    <w:p>
      <w:r>
        <w:rPr>
          <w:b/>
        </w:rPr>
        <w:t xml:space="preserve">Quelle: </w:t>
      </w:r>
      <w:r>
        <w:t>https://mcp.opencaselaw.ch/entscheid/bvger_E-3070_2012</w:t>
      </w:r>
    </w:p>
    <w:p>
      <w:r>
        <w:t>FR: TAF E-3070/2012 du 29 janvier 2014</w:t>
      </w:r>
    </w:p>
    <w:p>
      <w:r>
        <w:t>IT: TAF E-3070/2012 del 29 gennaio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seine Eingabe erweist sich als frist- und formgerecht (Art. 108 Abs. 1 AsylG; Art. 52 Abs. 1 VwVG), womit auf die Beschwerde einzutreten ist.</w:t>
      </w:r>
    </w:p>
    <w:p>
      <w:r>
        <w:rPr>
          <w:b/>
        </w:rPr>
        <w:t>E. 1.5</w:t>
      </w:r>
    </w:p>
    <w:p>
      <w:r>
        <w:t>Die Beschwerde ist im Verfahren einzelrichterlicher Zuständigkeit mit Zustimmung eines zweiten Richters oder einer zweiten Richterin zu behandeln, da sie sich - wie nachfolgend aufgezeigt - im Ergebnis als offensichtlich begründet erweist (Art. 111 Bst. e AsylG). 2.1 Im Rahmen der Beschwerdeeingabe wird unter anderem geltend gemacht, vom BFM sei der rechtserhebliche Sachverhalt unrichtig und unvollständig festgestellt worden. Zwar wird in den diesbezüglichen Ausführungen über weite Strecken die Frage der Feststellung des rechtserheblichen Sachverhalts mit der Frage der rechtlichen Würdigung der Sache vermengt. Die Rüge einer unvollständigen Sachverhaltsfeststellung erweist sich jedoch im Urteilszeitpunkt - aus nachfolgend aufgezeigten Gründen - als berechtigt. 2.2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7. Mai 2012 zugrunde liegt, zumindest unter den neu eingetretenen Umständen offensichtlich nicht vollständig festgestellt ist. Denn es besteht kein Zweifel, dass eine neue Lagebeurteilung vor Ort sich auf die konkrete Feststellung des rechtserheblichen Sachverhalts auswirken kann, sei es im Flüchtlings- und Asylpunkt, sei es im Wegweisungsvollzugspunkt. 2.3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2.4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3.1</w:t>
      </w:r>
    </w:p>
    <w:p>
      <w:r>
        <w:t>Bei diesem Ausgang des Verfahrens sind keine Kosten zu erheben (Art. 63 Abs. 1-3 VwVG), womit das Gesuch um unentgeltliche Prozessführung gegenstandslos geworden ist.</w:t>
      </w:r>
    </w:p>
    <w:p>
      <w:r>
        <w:rPr>
          <w:b/>
        </w:rPr>
        <w:t>E. 3.2</w:t>
      </w:r>
    </w:p>
    <w:p>
      <w:r>
        <w:t>Nachdem der Beschwerdeführer mit seinem Begehren um Aufhebung der angefochtenen Verfügung durchgedrungen ist, wäre ihm zulasten der Vorinstanz eine Parteientschädigung für die ihm notwendigerweise erwachsenen Kosten zuzusprechen (Art. 64 Abs. 1 VwVG; Art. 7 Abs. 1 des Reglements vom 21. Februar 2008 über die Kosten und Entschädigungen vor dem Bundesverwaltungsgericht [VGKE, SR 173.320.2]). Da der Beschwerdeführer im vorliegenden Verfahren jedoch keine Rechtsvertretung in Anspruch genommen hat, ist davon auszugehen, dass ihm keine Kosten im rechtserheblichen Sinne entstanden sind. Es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