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E-306/2020 vom 7. März 2022</w:t>
      </w:r>
    </w:p>
    <w:p>
      <w:r>
        <w:t>Bundesverwaltungsgericht, 2022-03-07, DE</w:t>
      </w:r>
    </w:p>
    <w:p>
      <w:r>
        <w:rPr>
          <w:b/>
        </w:rPr>
        <w:t xml:space="preserve">Quelle: </w:t>
      </w:r>
      <w:r>
        <w:t>https://mcp.opencaselaw.ch/entscheid/bvger_E-306_2020</w:t>
      </w:r>
    </w:p>
    <w:p>
      <w:r>
        <w:t>FR: TAF E-306/2020 du 7 mars 2022</w:t>
      </w:r>
    </w:p>
    <w:p>
      <w:r>
        <w:t>IT: TAF E-306/2020 del 7 marzo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w:t>
      </w:r>
    </w:p>
    <w:p>
      <w:r>
        <w:t>E-306/2020 Seite 11 schutzwürdiges Interesse an deren Aufhebung beziehungsweise Ände- rung; sie ist daher zur Einreichung der Beschwerde legitimiert (Art. 105 und Art.108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 Der Untersuchungsgrundsatz wird allerdings durch die allgemeine Mitwirkungspflicht der Parteien (Art. 13 VwVG) sowie im Asylverfahren durch die besondere Mitwirkungspflicht einer asylsuchen- den Person (Art. 8 AsylG) begleitet.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t>
      </w:r>
    </w:p>
    <w:p>
      <w:r>
        <w:t>E-306/2020 Seite 12 weismittel vollständig zu bezeichnen und sie unverzüglich einzureichen o- der, soweit dies zumutbar erscheint, sich darum zu bemühen, sie innerhalb einer angemessenen Frist zu beschaffen. Was die Einreichung von Mehr- fachgesuchen betrifft, statuiert das AsylG schliesslich die Anforderung, sol- che Gesuche schriftlich und begründet einzureichen (Art. 111c AsylG; vgl. unten E. 3.3).</w:t>
      </w:r>
    </w:p>
    <w:p>
      <w:r>
        <w:rPr>
          <w:b/>
        </w:rPr>
        <w:t>E. 3.1</w:t>
      </w:r>
    </w:p>
    <w:p>
      <w:r>
        <w:t>Vorab sind die formellen Rügen zu beurteilen, da sie allenfalls geeignet wären, eine Kassation der vorinstanzlichen Verfügung zu bewirken.</w:t>
      </w:r>
    </w:p>
    <w:p>
      <w:r>
        <w:rPr>
          <w:b/>
        </w:rPr>
        <w:t>E. 3.2</w:t>
      </w:r>
    </w:p>
    <w:p>
      <w:r>
        <w:t>Im Verwaltungsverfahren gelten der Untersuchungsgrundsatz und die Pflicht zur vollständigen und richtigen Abklärung des rechtserheblichen Sachverhalts (Art. 12 VwVG; vgl. auch Art. 49 Bst. b VwVG; für das Asyl- verfahren ausserdem Art. 6 AsylG). Mithin ist die zuständige Behörde ver- pflichtet, den für die Beurteilung eines Asylgesuchs relevanten Sachverhalt von Amtes wegen festzustellen (vgl. zur Bedeutung des Untersuchungs- grundsatzes allgemein etwa HÄFELIN/MÜLLER/UHLMANN, Allgemeines Ver- waltungsrecht, 5. Aufl., Zürich/ St. Gallen 2010, S. 375 f.; PATRICK KRAUS- KOPF/KATRIN EMMENEGGER, in: Bernhard Waldmann/Philippe Weissenber- ger [Hrsg.], Praxiskommentar VwVG, Zürich/ Basel/Genf 2009, Art. 12, N 15 ff.). Die unrichtige oder unvollständige Feststellung des rechtserhebli- chen Sachverhalts in Verletzung der behördlichen Untersuchungspflicht bil- 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In der Beschwerde wird gerügt, das SEM habe den Sachverhalt nicht vollständig abgeklärt, da es die offerierten Akten des Gesuchsverfahrens bei den ESD der Stadt E._______ nicht beigezogen habe. Mit dem Mehr- fachgesuch sei eine Kopie der Beschwerde gegen die Verfügung der ESD der Stadt E._______ eingereicht werden, und nicht wie vom SEM in der Verfügung fälschlicherweise aufgeführt, die Akten des Gesuchs an die ESD. Diese seien lediglich offeriert worden. Der Verfahrensfehler sei auf Beschwerdeeben kaum zu korrigieren, weshalb sich eine Kassation der angefochtenen Verfügung aufdränge (Beschwerde III A. Ziff. 2 und III C. Ziff. 6). Das SEM hat zwar tatsächlich fälschlicherweise in der angefochtenen Ver- fügung aufgeführt, dass eine Kopie des Dossiers des Gesuchsverfahrens bei der Stadt E._______ eingereicht worden sei. In den Erwägungen bezog sich das SEM dann aber nur auf die Verwaltungsbeschwerde gegen die Verfügung der ESD E._______ und nicht auf das Gesuch. Dass das SEM die offerierten Akten betreffend das Gesuch um Erteilung einer ausländer- rechtlichen Bewilligung zwecks Eintragung der Partnerschaft von der Be- schwerdeführerin nicht abgenommen hat, stellt keine Rechtsverletzung dar. Einerseits durfte die Vorinstanz davon ausgehen, dass die wesentli- chen neuen Elemente im Mehrfachgesuch vorgetragen worden sind, zumal die Eingabe durch einen Rechtsvertreter verfasst wurde. Andererseits han- delte es sich dabei um ein kantonales Verfahren, welches in keinem direk- ten Zusammenhang mit der Prüfung der Flüchtlingseigenschaft der Be- schwerdeführerin steht. Zudem lagen dem SEM das Beschwerdedossier inklusive den Beilagen und der Verfügung der ESD vor, welches hinrei- chend Aufschluss über das kantonale Verfahren gab. Eine Kassation der angefochtenen Verfügung rechtfertigt sich jedenfalls nicht, zumal auch in der Beschwerde nicht vorgetragen wird, inwiefern die Gesuchsunterlagen vorliegend zur Erhellung des Sachverhalts von erheblicher Relevanz seien.</w:t>
      </w:r>
    </w:p>
    <w:p>
      <w:r>
        <w:rPr>
          <w:b/>
        </w:rPr>
        <w:t>E. 3.4</w:t>
      </w:r>
    </w:p>
    <w:p>
      <w:r>
        <w:t>In der Beschwerde wird ferner moniert, die Vorinstanz habe den Sach- verhalt nicht vollständig abgeklärt, da sie die Beschwerdeführerin nicht er- neut angehört habe. In Dispositivziffer 7 der angefochtenen Verfügung des</w:t>
      </w:r>
    </w:p>
    <w:p>
      <w:r>
        <w:t>E-306/2020 Seite 13 SEM habe es den Antrag auf Durchführung einer Anhörung abgelehnt. Der Sachverhalt seit vom SEM nicht seriös abgeklärt worden und es habe seine Amtspflicht verletzt (Beschwerde III A. Ziff. 3 und III C. Ziff. 7). Auch diese Rüge erweist sich als unbegründet. Nach dem seit dem 1. Feb- ruar 2014 zur Anwendung kommenden Verfahren für Folgegesuche soll bei Wiedererwägungs- und Asylfolgegesuchen (sog. Mehrfachgesuchen) Art. 29 AsylG (Anhörung zu den Asylgründen) grundsätzlich nicht mehr zur Anwendung kommen. Dementsprechend wird über Folgegesuche, so auch das hier in Frage stehende Mehrfachgesuch, grundsätzlich in einem Akten- verfahren ohne weitere Anhörung der gesuchstellenden Person entschie- den (vgl. Art. 111c AsylG). Mit den neuen Gesetzesbestimmungen von Art. 111b ff. AsylG wurden auch die formellen Anforderungen an die Ein- gabe von Folgegesuchen geändert. Folgegesuche sollen nur noch schrift- lich und begründet eingereicht werden können. Dabei müssen sie mindes- tens so weit begründet sein, dass sie die Behörde in die Lage versetzen, über das Gesuch zu entscheiden, auch ohne dass sie die gesuchstellende Person anhört. Die Eingabe der Beschwerdeführerin vom 21. Oktober 2019 kann als hin- reichend begründet im Sinne dieser Anforderungen betrachtet werden. Da die Beschwerdeführerin zu diesem Zeitpunkt auch bereits rechtlich vertre- ten gewesen ist, ist das SEM zu Recht davon ausgegangen, dass der we- sentliche Sachverhalt hinreichend unterbreitet wurde. Das Gericht gelangt ebenfalls zum Schluss, dass der Sachverhalt angemessen festgestellt wurde und das SEM vorliegend zu Recht auf eine Anhörung der Beschwer- deführerin verzichtete. Das SEM hat den Verzicht auf eine Anhörung mit Verweis auf die Gesetzeslage und die Rechtsprechung (BVGE 2014/39) auch korrekt begründet. Die Rüge, die Vorinstanz habe die Pflicht zur voll- ständigen und richtigen Abklärung des rechtserheblichen Sachverhalts ver- letzt, ist nicht begründet.</w:t>
      </w:r>
    </w:p>
    <w:p>
      <w:r>
        <w:rPr>
          <w:b/>
        </w:rPr>
        <w:t>E. 3.5</w:t>
      </w:r>
    </w:p>
    <w:p>
      <w:r>
        <w:t>Die formellen Rügen sind unbegründet und es besteht weder Bedarf an weiteren Sachverhaltsabklärungen noch sonst ein Anlass zur Rückwei- sung der Sache an die Vorinstanz.</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E-306/2020 Seite 14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Beschwerdeführerin begründete ihr zweites Asylgesuch im We- sentlichen damit, dass sie sich inzwischen als homosexuell geoutet habe und mit einer Frau zusammenlebe. Am 6. März 2020 haben die Beschwer- deführerin und ihre Schweizer Partnerin die Partnerschaft eintragen las- sen. Aus den kantonalen Akten bezüglich des Verfahrens um Familien- nachzug geht hervor, dass die kantonale Behörde von einer Scheinehe ausgeht. Ob die Beschwerdeführerin tatsächlich in einer Liebensbeziehung mit ihrer Schweizer Partnerin steht, oder ob es sich dabei, wie vom Kanton vermutet, um eine Umgehungspartnerschaft handelt, kann vorliegend of- fenbleiben. Aufgrund nachstehender Überlegungen ist auch bei unterstell- ter Glaubhaftigkeit ihres Outings nicht davon auszugehen, dass der Be- schwerdeführerin aufgrund ihrer sexuellen Orientierung bei einer Rückkehr in ihren Heimatstaat eine flüchtlingsrechtlich relevante Verfolgung drohen würde.</w:t>
      </w:r>
    </w:p>
    <w:p>
      <w:r>
        <w:rPr>
          <w:b/>
        </w:rPr>
        <w:t>E. 5.2</w:t>
      </w:r>
    </w:p>
    <w:p>
      <w:r>
        <w:t>Zunächst ist festzuhalten, dass das SEM zu Recht festgestellt hat, dass die Beschwerdeführerin sich erst in der Schweiz als homosexuell geoutet hat und vor ihrer Ausreise aus Pakistan somit keiner Verfolgung aufgrund ihrer sexuellen Orientierung ausgesetzt gewesen ist. Vorfluchtgründe im Sinne des Art. 3 AsylG bestehen nicht. Entgegen der Ansicht der Be- schwerdeführerin (Beschwerde III C. Ziff. 8) hat die Vorinstanz zutreffend im Sinne von subjektiven Nachfluchtgründen gemäss Art. 54 AsylG geprüft, ob die Beschwerdeführerin wegen ihres mittlerweile erfolgten Outings bei einer Rückkehr in ihren Heimatstaat aufgrund ihrer sexuellen Orientierung begründete Furcht vor ernsthaften Nachteilen hat beziehungsweise ob sie</w:t>
      </w:r>
    </w:p>
    <w:p>
      <w:r>
        <w:t>E-306/2020 Seite 15 sich in einer Situation eines unerträglichen psychischen Drucks wiederfin- den würde, welcher die Flüchtlingseigenschaft begründen könnte. Da sich die Beschwerdeführerin erst nach ihrer Ausreise zu ihrer Homosexualität bekannt hat und auch nicht vorgebracht hat, bereits in Pakistan (im Gehei- men) ihre sexuelle Orientierung ausgelebt zu haben, hat die Vorinstanz die neue Asylbegründung zutreffend unter Art. 54 AsylG gewürdigt (vgl. hierzu bspw. Urteil des BVGer E-6857/2014 vom 13. Januar 2017 E.3.3).</w:t>
      </w:r>
    </w:p>
    <w:p>
      <w:r>
        <w:rPr>
          <w:b/>
        </w:rPr>
        <w:t>E. 5.3</w:t>
      </w:r>
    </w:p>
    <w:p>
      <w:r>
        <w:t>Es stellt sich somit vorliegend die Frage, ob die Beschwerdeführerin bei einer Rückkehr nach Pakistan mit beachtlicher Wahrscheinlichkeit und in absehbarer Zukunft Opfer zukünftiger Verfolgung werden würde. Den Akten lässt sich nicht entnehmen, dass ihrer Familie in Pakistan oder an- deren Personen bekannt wäre, dass sie in der Schweiz in einer eingetra- genen Partnerschaft beziehungsweise in einer gleichgeschlechtlichen Be- ziehung lebt. Sie bringt auch nicht vor, dass sie sich vor konkreten Benach- teiligungen oder allfälligen Drohungen durch die Familie fürchte. Auch auf Beschwerdeebene beschränkt sich die Beschwerdeführerin auf eine äus- serst knappe Ausführung, dass homosexuelle Personen im Allgemeinen Repressalien ausgesetzt seien (Beschwerde III B. Ziff. 4b; III C. Ziff. 9). In Pakistan wird Homosexualität nicht explizit im Strafgesetz unter Strafe ge- stellt. Homosexuelle können zwar durch die Anwendung des Artikels 377 des Strafgesetzes über «unnatürlichen» Geschlechtsverkehr strafrechtlich verfolgt werden. Der Artikel wird jedoch gemäss verschiedenen Quellen nur selten gegen Homosexuelle angewandt und es kommen nur selten Fälle vor Gericht (vgl. Schweizerische Flüchtlingshilfe (SFH), Pakistan: Situation von Homosexuellen, Bern, 11. Juni 2015, https://www.fluecht- lingshilfe.ch/fileadmin/user_upload/Publikationen/Herkunftslaenderbe- richte/ Mittlerer_Osten_-_Zentralasien/Pakistan/150422-pak-homosexu- elle-de. pdf, abgerufen am 21.09.2021; Refugee Legal Aid Information for Lawyers Representing Refugees Globally, Rights in Exile Programme, Pa- kistan LGBTI Resources, undatiert, https://www.refugeelegalaidinforma- tion.org/pakistan-lgbti-resources, abgerufen am 21.09.2021; UK Home Office, Country Policy and Information Note, Pakistan: Sexual orientation and gender identity or expression, Juli 2019, https://assets.publishing.ser- vice.gov.uk/government/uploads/system/uploads/attachment_data/file/ 814050/Pakistan-SOGIE-CPIN-v3.0_July_2019_.pdf, abgerufen am 23.09.21). Homosexuelle Personen können gemäss verschiedenen Quel- len hingegen Diskriminierungen und Gewalt ausgesetzt sein, was auch dazu führt, dass sich Homosexuelle nur selten outen (vgl. US Department of State, 2020 Country Reports on Human Rights Practices: Pakistan,</w:t>
      </w:r>
    </w:p>
    <w:p>
      <w:r>
        <w:t>E-306/2020 Seite 16 20. März 2021, https://www.state.gov/reports/2020-country-reports-on-hu- man-rights-practices/pakistan/, abgerufen am 21.09.2021; SFH, Pakistan: Situation von Homosexuellen, a.a.O.; siehe auch Urteil des BVGer E-4373/2013 vom 25. Oktober 2013 E. 4.4.3). Dabei gehe die Diskriminie- rung insbesondere von der Verwandtschaft aus und hänge vom sozioöko- nomischen Umfeld ab. LGBTI Personen aus einem urbanen und wohlha- benderen Umfeld seien mit weniger Einschränkungen konfrontiert als är- mere Personen aus einem ländlichen Gebiet (vgl. Immigration and Refugee Board of Canada, Pakistan: Treatment of sexual and gender mi- norities and authorities; state protection and support services available, 17. Januar 2019, https://irb.gc.ca/en/country-information/rir/Pages/in- dex.aspx?doc =457702, abgerufen am 21.09.2021; UK Home Office, Country Policy and Information Note, Pakistan: Sexual orientation and gen- der identity or expression, a.a.O.). Auch wenn nicht in Abrede gestellt wird, dass homosexuelle Personen in Pakistan Benachteiligungen ausgesetzt sein können, ist anhand der konsultierten Quellen nicht davon auszuge- hen, dass sich allein aufgrund der Zugehörigkeit der Beschwerdeführerin zum Kollektiv eine zukünftige Verfolgung objektiv mit einer erheblichen Wahrscheinlichkeit verwirklichen würde.</w:t>
      </w:r>
    </w:p>
    <w:p>
      <w:r>
        <w:rPr>
          <w:b/>
        </w:rPr>
        <w:t>E. 5.4</w:t>
      </w:r>
    </w:p>
    <w:p>
      <w:r>
        <w:t>Ferner ist auch nicht im Sinne des Referenzurteils des Bundesverwal- tungsgerichts D-6539/2018 davon auszugehen, dass die Beschwerdefüh- rerin bei einer Rückkehr einem unerträglichen psychischen Druck im Sinne von Art. 3 Abs. 2 AsylG ausgesetzt wäre. In seinem Referenzurteil (dieses betrifft den Irak) führte das Bundesverwaltungsgericht aus, dass die Ver- heimlichung der Homosexualität aufgrund der ständigen Gefahr der unfrei- willigen Entdeckung, der gesellschaftlichen Repression und Marginalisie- rung, der fehlenden Unterstützung des Familienverbandes sowie der Angst vor Diskriminierung in Polizeigewahrsam oder im Strafvollzug unter Um- ständen einen unerträglichen psychischen Druck im Sinne von Art. 3 Abs. 2 AsylG verursachen könne. Indessen sei dieser Druck in subjektiver Hin- sicht jeweils im Einzelfall zu prüfen (D-6539/2018 vom 2. April 2019 E. 8.3). Die Beschwerdeführerin hat weder in ihrem Mehrfachgesuch (SEM Akte […]-1/41) konkret vorgebracht, inwiefern sie sich bei einer Rückkehr nun- mehr aufgrund ihrer sexuellen Orientierung in ihrem Alltag erheblich ein- schränken müsste, noch wurde Entsprechendes auf Beschwerdeebene dargelegt. Auch macht die Beschwerdeführerin wie bereits oben erwähnt nicht geltend, dass ihre Familie oder Bekannte über ihr in der Schweiz er- folgtes Outing informiert seien. Es ist somit nicht davon auszugehen, dass ihre Homosexualität in Pakistan ihrem Bekanntenkreis oder den Behörden</w:t>
      </w:r>
    </w:p>
    <w:p>
      <w:r>
        <w:t>E-306/2020 Seite 17 bekannt ist. Es gab in ihrer Vergangenheit auch kein Ereignis, welches zu einer konkreten Gefahr der Entdeckung oder zu einem unfreiwilligen Ou- ting führen könnte. Eine lediglich abstrakte Gefahr der Entdeckung und Verfolgung genügt zur Annahme eines unerträglichen psychischen Dru- ckes indes nicht. Entgegen der Ansicht der Beschwerdeführerin entspricht dies auch der bisherigen Rechtsprechung des Bundesverwaltungsgerichts, wonach gewisse Einschränkungen im öffentlichen Auftreten und im Privat- leben für sich noch keine ernsthaften Nachteile im Sinne von Art. 3 AsylG darstellen und nicht per se zu einem unerträglichen psychischen Druck füh- ren (vgl. Urteile des BVGer E-2109/2019 vom 28. August 2020 E. 10.2 m.w.H.; D-5961/2017 vom 27. Februar 2018 E. 6.3). Insgesamt sind keine Anhaltspunkte ersichtlich, die zur konkreten Gefahr eines unfreiwilligen Outings führen könnten. Eine begründete Furcht vor einem unerträglichen psychischen Druck oder anderen ernsthaften Nachteilen nach Art. 3 Abs. 2 AsylG ist vorliegend nicht gegeben.</w:t>
      </w:r>
    </w:p>
    <w:p>
      <w:r>
        <w:rPr>
          <w:b/>
        </w:rPr>
        <w:t>E. 5.5</w:t>
      </w:r>
    </w:p>
    <w:p>
      <w:r>
        <w:t>Zusammenfassend hat die Vorinstanz das Mehrfachgesuch der Be- schwerdeführerin zu Recht abgelehnt und ihre Flüchtlingseigenschaft so- wie diejenige ihres Kindes zu Recht verneint.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Betreffend die Anordnung der Wegweisung und des Vollzugs ist festzu- halten, dass die Wegweisung gemäss Art. 32 Abs. 1 Bst. a Asylverordnung 1 vom 11. August 1999 über Verfahrensfragen (AsylV 1, SR 142.311) unter anderem dann nicht angeordnet werden darf, wenn die asylsuchende Per- son im Besitz einer gültigen Aufenthalts- oder Niederlassungsbewilligung ist, wobei diese Bestimmung praxisgemäss so zu verstehen ist, dass nicht der Besitz der Aufenthaltsbewilligung, sondern der Anspruch auf Erteilung einer solchen ausschlaggebend ist (vgl. etwa das Urteil BVGer E-4701/2014 vom 26. Juni 2015 E. 6.1 unter Hinweis auf Entscheidungen und Mitteilungen der Schweizerischen Asylrekurskommission [EMARK] 2001 Nr. 21 E. 9). Ein solcher kann sich unter anderem aus Art. 8 EMRK ergeben (vgl. EMARK 2001 Nr. 21 E. 8a und b sowie E. 9 m.w.H.).</w:t>
      </w:r>
    </w:p>
    <w:p>
      <w:r>
        <w:rPr>
          <w:b/>
        </w:rPr>
        <w:t>E. 6.3</w:t>
      </w:r>
    </w:p>
    <w:p>
      <w:r>
        <w:t>Die konkrete Beurteilung des geltend gemachten Anspruchs und damit auch der Entscheid über die Wegweisung fällt dagegen in die Zuständigkeit</w:t>
      </w:r>
    </w:p>
    <w:p>
      <w:r>
        <w:t>E-306/2020 Seite 18 der kantonalen Migrationsbehörden. Unter Beachtung des sogenannten Grundsatzes des Vorrangs des Asylverfahrens (vgl. Art. 14 Abs. 1 AsylG) prüft das SEM lediglich, ob (1) ein potenzieller Anspruch gestützt auf Art. 8 EMRK vorfrageweise bejaht wird, (2) die betroffene Person an die zustän- dige kantonale Migrationsbehörde ein Gesuch um Erteilung einer Aufent- haltsbewilligung gerichtet hat sowie (3) dieses Gesuch noch hängig ist (vgl. (BVGE 2013/37 E. 4.4, insbesondere E. 4.4.2.2; EMARK 2001 Nr. 21 E. 8d).</w:t>
      </w:r>
    </w:p>
    <w:p>
      <w:r>
        <w:rPr>
          <w:b/>
        </w:rPr>
        <w:t>E. 6.4</w:t>
      </w:r>
    </w:p>
    <w:p>
      <w:r>
        <w:t>Grundsätzlich können ausländische gleichgeschlechtliche Partner von Schweizer Bürgern Anspruch auf Erteilung einer Aufenthaltsbewilligung aus Art. 8 EMRK haben (vgl. BGE 126 II 425). Vorliegend hat die Be- schwerdeführerin beziehungsweise ihre Schweizer Partnerin ein Gesuch um Familiennachzug bei der zuständigen Fremdenpolizei gestellt. Die kan- tonalen Behörden haben sich mit dem Gesuch befasst, haben dieses je- doch abgewiesen beziehungsweise sind nicht darauf eingetreten, mit der Begründung, es bestehe kein Anspruch auf Erteilung einer Aufenthaltsbe- willigung, da von einer Scheinehe auszugehen sei. Die Zuständigkeit hin- sichtlich der Frage der Anordnung der Wegweisung ist nach dem oben Ge- sagten zu den fremdenpolizeilichen Behörden gewechselt. Doch besteht in diesem Fall kein Grund, die asylrechtlich angeordnete Wegweisung aufzu- heben, da sich die ursprüngliche asylrechtliche Anordnung der Wegwei- sung durch das SEM mit derjenigen der fremdenpolizeilichen Behörden vom Ergebnis her deckt (EMARK 2001 Nr. 21 E.11.b).</w:t>
      </w:r>
    </w:p>
    <w:p>
      <w:r>
        <w:rPr>
          <w:b/>
        </w:rPr>
        <w:t>E. 6.5</w:t>
      </w:r>
    </w:p>
    <w:p>
      <w:r>
        <w:t>Aus diesen Erwägungen ergibt sich, dass die Anordnung der (asyl- rechtlichen) Wegweisung zu bestätigen ist. Der fremdenpolizeiliche Rechtsmittelweg bleibt ungeachtet dessen bestehen.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E-306/2020 Seite 19</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ihr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w:t>
      </w:r>
    </w:p>
    <w:p>
      <w:r>
        <w:t>E-306/2020 Seite 20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In Pakistan herrscht weder Bürgerkrieg noch eine Lage allgemeiner Gewalt (vgl. Urteil des BVGer E-3954/2018 vom 24. Juli 2018 E. 9.4.1 m.H.). Bei der Beschwerdeführerin handelt es sich um eine ethnische Ha- zara schiitischen Glaubens mit letztem Wohnsitz in Quetta. Das Bundes- verwaltungsgericht schätzte in BVGE 2014/32 die Lage in Quetta für Schi- iten und insbesondere für Hazara als gefährlich ein und bezeichnete die Sicherheitslage als bedrohlich und instabil. Es bestehe für Schiiten die ernstzunehmende Gefahr von religiös motivierten Anschlägen, wobei diese Gefahr für Hazara zusätzlich gesteigert sei. Es sei zwar nicht von einer Situation allgemeiner Gewalt auszugehen; die Zugehörigkeit zur ethnisch- religiösen Minderheit der schiitischen Hazara sei aber als starkes Indiz für die Annahme der Unzumutbarkeit des Wegweisungsvollzugs zu qualifizie- ren. Ergebe sich aus der persönlichen Situation einer beschwerdeführen- den Person ein zusätzliches Gefährdungsindiz, das über die schwierige generelle Lage der Hazara in Quetta hinausgehe, sei der Wegweisungs- vollzug als unzumutbar zu bezeichnen (vgl. BVGE 2014/32 E. 9.4). Die im Grundsatzurteil vorgenommene Lagebeurteilung ist nach wie vor aktuell; von einer Verbesserung der Lage für Hazaras in Quetta ist nicht auszuge- hen.</w:t>
      </w:r>
    </w:p>
    <w:p>
      <w:r>
        <w:rPr>
          <w:b/>
        </w:rPr>
        <w:t>E. 7.4.3</w:t>
      </w:r>
    </w:p>
    <w:p>
      <w:r>
        <w:t>Das SEM ist in seiner Verfügung zum Schluss gekommen, dass be- reits in den vorangegangen Asylverfahren rechtskräftig entschieden wor- den sei, dass der Wegweisungsvollzug auch aus individueller Hinsicht zu- mutbar sei. Seit Abschluss des letzten Beschwerdeverfahrens liege inso- fern eine veränderte Sachlage vor, da sie inzwischen Mutter einer Tochter geworden sei. Dieser Umstand vermöge jedoch an der bisherigen Ein- schätzung nichts zu ändern. Es sei davon auszugehen, dass sie sich bei einer Rückkehr nach Pakistan auf ein familiäres und soziales Netz stützen könne, welches ihr auch in Bezug auf die Betreuung der Tochter behilflich sein könne, weshalb eine Wiedereingliederung in die Arbeitswelt möglich</w:t>
      </w:r>
    </w:p>
    <w:p>
      <w:r>
        <w:t>E-306/2020 Seite 21 sein dürfte. In der Beschwerde wurde sodann darauf hingewiesen, dass sich die Vorinstanz nicht mit der Frage auseinandergesetzt habe, wie sich die Situation für eine Person mit einem unehelichen Kind in Pakistan ge- stalten würde (Beschwerde III C. Ziff. 10). Daraufhin lud die Instruktions- richterin das SEM ein, sich zu dieser Frage vernehmen zu lassen. In der Vernehmlassung beschränkte sich das SEM darauf, im Wesentlichen zu wiederholen, dass es der Beschwerdeführerin aufgrund ihrer Ausbildung und Berufserfahrung sowie ihres Beziehungsnetzes trotz ihrer spezifischen Lebensumstände gelingen dürfte, den Lebensunterhalt für sich und ihre Tochter selbständig zu bestreiten. Es würden begünstigende Faktoren vor- liegen. In der Replik führte die Beschwerdeführerin zu Recht aus, dass das SEM erneut die wesentlichen neuen Elemente nicht geprüft habe.</w:t>
      </w:r>
    </w:p>
    <w:p>
      <w:r>
        <w:rPr>
          <w:b/>
        </w:rPr>
        <w:t>E. 7.4.4</w:t>
      </w:r>
    </w:p>
    <w:p>
      <w:r>
        <w:t>Der Beschwerdeführerin ist beizustimmen, dass sich vorliegend aus ihrer persönlichen Situation zusätzliche Gefährdungsindizien ergeben könnten. Es stellt sich die Frage, inwiefern es für die Beschwerdeführerin möglich wäre, sich – neben ihrer ethnischen und religiösen Zugehörigkeit – als alleinerziehende Frau mit einem unehelichen Kind in Pakistan wie- dereinzugliedern und insbesondere auch, wie sich die Situation für ein un- eheliches Kind in Pakistan darstellt. Die Beschwerdeführerin hat zuletzt mit ihrer Mutter und Schwester in G._______ in Quetta gelebt (SEM Akte A5, Ziff. 2.01 und 3.03). In ihrem ersten Beschwerdeverfahren machte sie gel- tend, dass der Kontakt zu ihnen abgebrochen sei und sie sich auf kein Be- ziehungsnetz mehr stützen könne. Mangels konkreter Ausführungen wurde der Kontaktabbruch als unglaubhaft eingestuft (vgl. Urteil des BVGer E-3854/2018 vom 24. Juli 2018 E.9.4.2). Inzwischen sind seit der Ausreise der Beschwerdeführerin über sechs Jahre vergangen. Unklar ist, ob sie sich nach der langen Landesabwesenheit noch auf ein Beziehungsnetz stützen könnte, insbesondere unter Beachtung des sozialen Stigmas, wel- chem sie als alleinerziehende Mutter mit einem unehelichen Kind ausge- setzt wäre. Gemäss Erkenntnissen des Gerichts ist eine Wiedereingliede- rung von unverheirateten, alleinstehenden Frauen in Pakistan von ver- schiedenen Umständen abhängig. Die «soziale Klasse», die ökonomische Situation, die Ausbildung sowie der Wohnort spielen eine wesentliche Rolle dabei, inwiefern eine alleinstehende Frau in Pakistan auskommt. Für wohl- habende Frauen, welche sich in einem urbanen und gebildeten Umfeld bewegen, dürfte es einfacher sein, als für Frauen, die nicht aus wohlha- benden Familien stammen und in der Regel einem hohen Level von Dis- kriminierungen ausgesetzt sind (vgl. Immigration and Refugee Board of Canada, Circumstances under which a woman has the legal right to get a divorce through the courts (judicial divorce) through her own</w:t>
      </w:r>
    </w:p>
    <w:p>
      <w:r>
        <w:t>E-306/2020 Seite 22 initiative; circumstances under which single women can live alone, 17.11.2010, https://www.refworld.org/docid/4dd1015f17.html, abgerufen am 13.09.2021; Department of Foreign Affairs and Trade (DFAT), DFAT Country Information Report Pakistan, 20.02.2019, https://www.dfat.gov.au/ sites/default/files/country-information-report-pakistan.pdf, abgerufen am 13.09.2021). Hinzukommend ist für homosexuelle Frauen der Zugang zu Arbeit und einer Wohnung noch schwieriger (vgl. SFH, Pakistan: Situation von Homosexuellen, a.a.O.). In der angefochtenen Verfügung hat sich das SEM nicht konkret mit der Frage auseinandergesetzt, ob es der Beschwerdeführerin bei einer Rück- kehr nach Pakistan als alleinstehende ethnische Hazara schiitischen Glau- bens möglich wäre, sich in Quetta wiedereinzugliedern, eine Wohnung zu mieten und eine Arbeitsstelle zu finden, welche ihre Existenzgrundlage si- chern könnte, zumal sie auch auf eine Kinderbetreuung angewiesen wäre. Es kommt hinzu, dass die Beschwerdeführerin in der Schweiz in einer ein- getragenen Partnerschaft lebt und sich geoutet hat. Der Hinweis des SEM auf die gute Ausbildung und die Berufserfahrung der Beschwerdeführerin alleine genügt angesichts der vorstehenden Erwägungen nicht, um von der Zumutbarkeit des Wegweisungsvollzugs ausgehen zu können. Aufgrund der Aktenlage kann zumindest nicht davon ausgegangen werden, dass es für die Beschwerdeführerin ohne Weiteres möglich sein dürfte, sich in Pa- kistan zu reintegrieren.</w:t>
      </w:r>
    </w:p>
    <w:p>
      <w:r>
        <w:rPr>
          <w:b/>
        </w:rPr>
        <w:t>E. 7.4.5</w:t>
      </w:r>
    </w:p>
    <w:p>
      <w:r>
        <w:t>Des Weiteren ist festzustellen, dass das SEM in der angefochtenen Verfügung zwar im Rahmen der Zumutbarkeitsprüfung das Kindswohl be- rücksichtigte. Dabei beschränkte sich das SEM aber nur auf die Feststel- lung, dass das Kind erst im (…) geboren worden sei, weshalb nicht ansatz- weise von einer Verwurzelung im schweizerischen Umfeld gesprochen werden könne. Dem SEM ist insofern beizustimmen, dass die Tochter der Beschwerdeführerin erst (…) Jahre alt ist. Von einer selbständigen Integration in der Schweiz kann tatsächlich noch nicht gesprochen werden. Von Bedeutung ist vorliegend aber auch, inwiefern für die Tochter – als unehelich geborenes Kind – eine Integration in Pakistan möglich ist. Erkenntnissen des Gerichts zufolge sind uneheliche Kinder mit einem erheblichen sozialen Stigma behaftet, da ausserehelicher Ge- schlechtsverkehr in Pakistan verboten ist (vgl. UK Home Office, Country Policy and Information Note – Pakistan: Women fearing gender- based violence, 02.2020, https://assets.publishing.service.gov.uk/govern- ment/uploads/system/uploads/attachment_data/file/866082 /Pakistan-Wo- men-CPIN-v4.0_Feb_2020_.pdf, abgerufen am 08.09.2021). Neben den</w:t>
      </w:r>
    </w:p>
    <w:p>
      <w:r>
        <w:t>E-306/2020 Seite 23 sozialen Folgen ist es für uneheliche Kinder zusätzlich schwierig, sich bei den Behörden registrieren zu lassen, da für die Registrierung grundsätzlich eine Heirats-, Scheidungs-, oder Todesurkunde des leiblichen Vaters ver- langt wird. Die Registrierung eines unehelichen Kindes bei der nationalen Registrierungsbehörde National Database and Registration Authority (NADRA) wird grundsätzlich nicht akzeptiert (vgl. UK Home Office, Country Policy and Information Note – Pakistan: Women fearing gender-based vio- lence, a.a.O.; Soch Writing, She had a child through a sperm donor. Nadra refuses to recognise it., 30.01.2020, https://www.sochwriting.com/she-had- a-child-through-a-sperm-donor-nadra-refuses-to-recognise-it/, abgerufen am 08.09.2021). Vorliegend hat sich das SEM nicht weiter mit der Frage auseinandergesetzt, inwiefern es für die Tochter der Beschwerdeführerin, als im Ausland geborenes uneheliches Kind, möglich wäre, sich Identitäts- papiere ausstellen zu lassen und sich gesetzeskonform registrieren zu las- sen. Eine Vaterschaftsanerkennung wurde in der Schweiz zwar durchge- führt. Inwiefern die Kindsanerkennung durch den Vater, welcher (…) Staatsangehöriger ist und soweit ersichtlich nie mit der Beschwerdeführe- rin und dem gemeinsamen Kind in einem Haushalt lebte (vgl. ZEMIS), von den pakistanischen Behörden akzeptiert würde, ist aber nicht klar. Das SEM ist somit seiner Abklärungs- und Würdigungspflicht nicht in genügen- der Weise nachgekommen. Nach dem Gesagten ist festzustellen, dass sich das SEM im Rahmen der Prüfung des Kindswohls nicht mit den Chan- cen und Hindernisse einer Integration im Heimatland, welche einen ge- wichtigen Faktor des Kindswohls darstellen (vgl. BVGE 2009/51 E. 5.6; BVGE 2009/28 E. 9.3.2 je mit weiteren Hinweisen), auseinandergesetzt hat.</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der Beschwerdeführerin dadurch eine Instanz verloren ginge (vgl. BVGE 2015/10 E. 7.1).</w:t>
      </w:r>
    </w:p>
    <w:p>
      <w:r>
        <w:t>E-306/2020 Seite 24</w:t>
      </w:r>
    </w:p>
    <w:p>
      <w:r>
        <w:rPr>
          <w:b/>
        </w:rPr>
        <w:t>E. 8.2</w:t>
      </w:r>
    </w:p>
    <w:p>
      <w:r>
        <w:t>Vorliegend ist aufgrund des Gesagten nicht von einer leicht herstellba- ren Entscheidungsreife auszugehen. Ausserdem soll das Gericht grund- sätzlich nicht anstelle der verfügenden Verwaltungsbehörde die Grundla- gen des rechtserheblichen Sachverhalts erstellen, weil die beschwerdefüh- rende Partei bei diesem Vorgehen eine Instanz verlieren würde. Vor die- sem Hintergrund ist eine Rückweisung angezeigt. Das SEM ist anzuwei- sen, den Sachverhalt in Bezug auf das Vorliegen von Wegweisungsvoll- zugshindernissen vollständig festzustellen und in der Sache neu zu ent- scheiden.</w:t>
      </w:r>
    </w:p>
    <w:p>
      <w:r>
        <w:rPr>
          <w:b/>
        </w:rPr>
        <w:t>E. 9</w:t>
      </w:r>
    </w:p>
    <w:p>
      <w:r>
        <w:t>Zusammenfassend ergibt sich, dass die angefochtene Verfügung vom</w:t>
      </w:r>
    </w:p>
    <w:p>
      <w:r>
        <w:rPr>
          <w:b/>
        </w:rPr>
        <w:t>E. 10.1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ihres Hauptantrags auf Feststellung der Flüchtlingseigenschaft und Asylgewährung unterlegen. Bezüglich der Anordnung des Wegweisungsvollzugs hat sie obsiegt. Praxisgemäss bedeutet dies ein hälftiges Obsiegen.</w:t>
      </w:r>
    </w:p>
    <w:p>
      <w:r>
        <w:rPr>
          <w:b/>
        </w:rPr>
        <w:t>E. 10.2</w:t>
      </w:r>
    </w:p>
    <w:p>
      <w:r>
        <w:t>Nach dem Gesagten hätte die Beschwerdeführerin die Hälfte der Verfahrenskosten zu tragen (Art. 63 Abs. 1 VwVG). Da ihr mit Instruktionsverfügung vom 21. Januar 2020 die unentgeltliche Rechtspflege gemäss Art. 65 Abs. 1 VwVG gewährt wurde und die Bedürftigkeit gemäss Aktenlage weiterhin besteht, sind ihr indessen keine Verfahrenskosten aufzuerlegen.</w:t>
      </w:r>
    </w:p>
    <w:p>
      <w:r>
        <w:rPr>
          <w:b/>
        </w:rPr>
        <w:t>E. 10.3</w:t>
      </w:r>
    </w:p>
    <w:p>
      <w:r>
        <w:t>Der Beschwerdeführerin ist im Umfang ihres Obsiegens - also hälftig - für die ihr erwachsenen notwendigen Kosten eine Parteientschädigung zu Lasten der Vorinstanz zuzusprechen (Art. 64 Abs. 1 VwVG; Art. 7 ff. des Reglements vom 21. Februar 2008 über die Kosten und Entschädigungen vor dem Bundesverwaltungsgericht [VGKE, SR 173.320.2]). Fürsprecher Daniel Weber, der mit Verfügung vom 21. Januar 2020 als amtlicher Rechtsbeistand eingesetzt wurde, reichte mit Eingabe vom 18. Februar 2020 eine Kostennote zu den Akten. Dabei machte er einen Aufwand von 8 Stunden bei einem Stundenansatz von Fr. 270.- sowie Auslagen für Fotokopien, Porti und E-Mail in der Höhe von insgesamt Fr. 41.90 geltend. Die Kostennote ist als angemessen zu betrachten. Die von der Vorinstanz auszurichtende, hälftige Parteientschädigung wird auf gerundet Fr. 1186.- (4 Stunden à Fr. 270.- zuzüglich Auslagen von Fr. 20.95 und Mehrwertsteuerzuschlag von Fr. 84.80) festgelegt.</w:t>
      </w:r>
    </w:p>
    <w:p>
      <w:r>
        <w:rPr>
          <w:b/>
        </w:rPr>
        <w:t>E. 10.4</w:t>
      </w:r>
    </w:p>
    <w:p>
      <w:r>
        <w:t>Nachdem die Beschwerdeführerin hälftig unterlegen ist, ist dem amtlichen Rechtsbeistand, Fürsprecher Daniel Weber, in diesem Umfang zu Lasten der Gerichtskasse ein amtliches Honorar auszurichten. Gestützt auf die in Betracht zu ziehenden Bemessungsfaktoren (Art. 9-12 VGKE) ist dem Rechtsbeistand durch das Bundesverwaltungsgericht ein amtliches Honorar in der Höhe von gerundet Fr. 970.- (4 Stunden à Fr. 220.- zuzüglich Auslagen von Fr. 20.95 und Mehrwertsteuerzuschlag von Fr. 69.40; zum Stundenansatz vgl. Instruktionsverfügung vom 21. Januar 2020) auszurichten. (Dispositiv nächste Seite)</w:t>
      </w:r>
    </w:p>
    <w:p>
      <w:r>
        <w:rPr>
          <w:b/>
        </w:rPr>
        <w:t>E. 13</w:t>
      </w:r>
    </w:p>
    <w:p>
      <w:r>
        <w:t>Dezember 2019 betreffend deren Dispositivziffer 1 (Flüchtlingseigen- schaft, Asyl) Bundesrecht nicht verletzt und den rechtserheblichen Sach- verhalt richtig sowie vollständig feststellt (Art. 106 Abs. 1 AsylG). Mit der Abweisung des Mehrfachgesuchs hat das SEM auch die Wegweisung als solche zu Recht angeordnet und Dispositivziffer 2 der angefochtenen Ver- fügung ist ebenfalls zu bestätigen. Die Beschwerde ist daher abzuweisen, soweit in dieser beantragt wird, es sei die Flüchtlingseigenschaft der Be- schwerdeführerin festzustellen, ihr Asyl zu gewähren und die Wegwei- sungsanordnung aufzuheben. Hinsichtlich des von der Vorinstanz ange- ordneten Wegweisungsvollzugs ist die Beschwerde hingegen gutzuheis- sen und die Dispositivziffern 3 und 4 der angefochtenen Verfügung sind aufzuheben. Diesbezüglich ist die Sache zur Abklärung des Sachverhalts und zur Neubeurteilung im Sinne der Erwägungen an die Vorinstanz zu- rückzuweisen. 10. 10.1 Die Kosten des Beschwerdeverfahrens und die Parteientschädigung sind grundsätzlich nach dem Verhältnis von Obsiegen und Unterliegen der Beschwerdeführerin aufzuerlegen beziehungsweise zuzusprechen (Art. 63 Abs. 1 und Art. 64 Abs. 1 VwVG). Die Beschwerdeführerin ist bezüglich ih- res Hauptantrags auf Feststellung der Flüchtlingseigenschaft und Asylge- währung unterlegen. Bezüglich der Anordnung des Wegweisungsvollzugs hat sie obsiegt. Praxisgemäss bedeutet dies ein hälftiges Obsiegen. 10.2 Nach dem Gesagten hätte die Beschwerdeführerin die Hälfte der Ver- fahrenskosten zu tragen (Art. 63 Abs. 1 VwVG). Da ihr mit Instruktionsver- fügung vom 21. Januar 2020 die unentgeltliche Rechtspflege gemäss</w:t>
      </w:r>
    </w:p>
    <w:p>
      <w:r>
        <w:t>E-306/2020 Seite 25 Art. 65 Abs. 1 VwVG gewährt wurde und die Bedürftigkeit gemäss Akten- lage weiterhin besteht, sind ihr indessen keine Verfahrenskosten aufzuer- legen. 10.3 Der Beschwerdeführerin ist im Umfang ihres Obsiegens – also hälftig – für die ihr erwachsenen notwendigen Kosten eine Parteientschädigung zu Lasten der Vorinstanz zuzusprechen (Art. 64 Abs. 1 VwVG; Art. 7 ff. des Reglements vom 21. Februar 2008 über die Kosten und Entschädigungen vor dem Bundesverwaltungsgericht [VGKE, SR 173.320.2]). Fürsprecher Daniel Weber, der mit Verfügung vom 21. Januar 2020 als amtlicher Rechtsbeistand eingesetzt wurde, reichte mit Eingabe vom 18. Februar 2020 eine Kostennote zu den Akten. Dabei machte er einen Auf- wand von 8 Stunden bei einem Stundenansatz von Fr. 270.– sowie Ausla- gen für Fotokopien, Porti und E-Mail in der Höhe von insgesamt Fr. 41.90 geltend. Die Kostennote ist als angemessen zu betrachten. Die von der Vorinstanz auszurichtende, hälftige Parteientschädigung wird auf gerundet Fr. 1186.– (4 Stunden à Fr. 270.– zuzüglich Auslagen von Fr. 20.95 und Mehrwertsteuerzuschlag von Fr. 84.80) festgelegt. 10.4 Nachdem die Beschwerdeführerin hälftig unterlegen ist, ist dem amt- lichen Rechtsbeistand, Fürsprecher Daniel Weber, in diesem Umfang zu Lasten der Gerichtskasse ein amtliches Honorar auszurichten. Gestützt auf die in Betracht zu ziehenden Bemessungsfaktoren (Art. 9–12 VGKE) ist dem Rechtsbeistand durch das Bundesverwaltungsgericht ein amtliches Honorar in der Höhe von gerundet Fr. 970.– (4 Stunden à Fr. 220.– zuzüglich Auslagen von Fr. 20.95 und Mehrwertsteuerzuschlag von Fr. 69.40; zum Stundenansatz vgl. Instruktionsverfügung vom 21. Januar 2020) auszurichten.</w:t>
      </w:r>
    </w:p>
    <w:p>
      <w:r>
        <w:t>(Dispositiv nächste Seite)</w:t>
      </w:r>
    </w:p>
    <w:p>
      <w:r>
        <w:t>E-306/2020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