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E-306/2013 vom 23. Januar 2013</w:t>
      </w:r>
    </w:p>
    <w:p>
      <w:r>
        <w:t>Bundesverwaltungsgericht, 2013-01-23, DE</w:t>
      </w:r>
    </w:p>
    <w:p>
      <w:r>
        <w:rPr>
          <w:b/>
        </w:rPr>
        <w:t xml:space="preserve">Quelle: </w:t>
      </w:r>
      <w:r>
        <w:t>https://mcp.opencaselaw.ch/entscheid/bvger_E-306_2013</w:t>
      </w:r>
    </w:p>
    <w:p>
      <w:r>
        <w:t>FR: TAF E-306/2013 du 23 janvier 2013</w:t>
      </w:r>
    </w:p>
    <w:p>
      <w:r>
        <w:t>IT: TAF E-306/2013 del 23 gennaio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Den Vorakten ist nicht mit Sicherheit zu entnehmen ist, wann der angefochtene Entscheid eröffnet worden ist. Bei dieser Sachlage ist zugunsten des Beschwerdeführers davon auszugehen, die Beschwerdeeingabe sei rechtzeitig erfolgt (vgl. André Moser/Micahel beusch/Lorenz Kneubühler, Prozessieren vor dem Bundesverwaltungsgericht, Handbücher für die Anwaltspraxis, Band X, Basel 2008, Rz. 3.150, S. 166 f.). Auf die frist- und formgerecht eingereichte Beschwerde (Art. 108 Abs. 2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4.1</w:t>
      </w:r>
    </w:p>
    <w:p>
      <w:r>
        <w:t>Die Vorinstanz erwog in der angefochtenen Verfügung, der Beschwerdeführer habe in Norwegen und in den Niederlanden um Asyl nachgesucht. Anlässlich der BzP habe er angegeben, sowohl von den norwegischen als auch von den niederländischen Behörden nach Italien überstellt worden zu sein. Die italienischen Behörden hätten innerhalb der festgelegten Frist zum Übernahmeersuchen der Schweiz keine Stellung genommen, weshalb gemäss Abkommen vom 26. Oktober 2004 zwischen der Schweizerischen Eidgenossenschaft und der Europäischen Gemeinschaft über die Kriterien und Verfahren zur Bestimmung des zuständigen Staates für die Prüfung eines in einem Mitgliedstaat oder in der Schweiz gestellten Antrages (DAA, SR 0.142.392.68) die Zuständigkeit für die Durchführung des Asyl- und Wegweisungsverfahren am 6. Januar 2013 an Italien übergegangen sei.</w:t>
      </w:r>
    </w:p>
    <w:p>
      <w:r>
        <w:rPr>
          <w:b/>
        </w:rPr>
        <w:t>E. 4.2</w:t>
      </w:r>
    </w:p>
    <w:p>
      <w:r>
        <w:t>In der Rechtsmittelgabe, die sich im Wesentlichen auf eine Schilderung der schwierigen Lage beschränkt, in der sich der Beschwerdeführer befinde, und sich im Übrigen in Ergänzung seiner anlässlich der BzP geschilderten Odysse durch Europa in Behauptungen erschöpft, wird die Zuständigkeit Italiens nicht bestritten. Zudem hatte er bereits im vorin-stanzlichen Verfahren angegeben, mit einer Ausschaffung nach Italien einverstanden zu sein (vgl. Akten BFM A8/11 Ziff. 8.01). Zur Zuständigkeit Italiens ist denn auch einzig anzumerken, dass dieses Land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keine konkreten Hinweise dafür vorliegen, dass sich Italien im konkreten Fall nicht an die daraus resultierenden Verpflichtungen halten würde. Die Vorinstanz ist somit zutreffend von der Zuständigkeit Italiens ausgegangen und in Anwendung von Art. 34 Abs. 2 Bst. d AsylG zu Recht auf das Asylgesuch nicht eingetreten.</w:t>
      </w:r>
    </w:p>
    <w:p>
      <w:r>
        <w:rPr>
          <w:b/>
        </w:rPr>
        <w:t>E. 5.1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10.2). Die Vorinstanz hat in diesem Sinne den Vollzug der Wegwei­sung nach Italien zu Recht als zu­lässig, zumutbar und möglich bezeichnet.</w:t>
      </w:r>
    </w:p>
    <w:p>
      <w:r>
        <w:rPr>
          <w:b/>
        </w:rPr>
        <w:t>E. 6</w:t>
      </w:r>
    </w:p>
    <w:p>
      <w:r>
        <w:t>Nach dem Gesagten ergibt sich, dass die angefochtene Verfügung Bundesrecht nicht verletzt und auch sonst nicht zu beanstanden ist (Art. 106 Abs. 1 AsylG). Die Beschwerde ist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