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E-3068/2010 vom 22. Juni 2010</w:t>
      </w:r>
    </w:p>
    <w:p>
      <w:r>
        <w:t>Bundesverwaltungsgericht, 2010-06-22, DE</w:t>
      </w:r>
    </w:p>
    <w:p>
      <w:r>
        <w:rPr>
          <w:b/>
        </w:rPr>
        <w:t xml:space="preserve">Quelle: </w:t>
      </w:r>
      <w:r>
        <w:t>https://mcp.opencaselaw.ch/entscheid/bvger_E-3068_2010</w:t>
      </w:r>
    </w:p>
    <w:p>
      <w:r>
        <w:t>FR: TAF E-3068/2010 du 22 juin 2010</w:t>
      </w:r>
    </w:p>
    <w:p>
      <w:r>
        <w:t>IT: TAF E-3068/2010 del 22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26. März 2010 bei der schweizerischen Vertretung in Colombo eingegangene Beschwerde rechtzeitig erfolgt ist.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27 VGG und Art. 38 VwVG).</w:t>
      </w:r>
    </w:p>
    <w:p>
      <w:r>
        <w:rPr>
          <w:b/>
        </w:rPr>
        <w:t>E. 1.3</w:t>
      </w:r>
    </w:p>
    <w:p>
      <w:r>
        <w:t>Die Amtssprachen des Bundes sind das Deutsche, Französische und Italienische (vgl. Art. 70 Abs. 1 der Bundesverfassung der Schweizerischen Eidgenossenschaft vom 18. April 1999 [BV, SR 101]). Aus prozessökonomischen Gründen wird vorliegend auf eine Rückweisung der englischsprachigen Beschwerde zur Übersetzung in eine Amtssprache verzichtet, da die gestellten und hinreichend begründeten Rechtsbegehren verständlich sind.</w:t>
      </w:r>
    </w:p>
    <w:p>
      <w:r>
        <w:rPr>
          <w:b/>
        </w:rPr>
        <w:t>E. 1.4</w:t>
      </w:r>
    </w:p>
    <w:p>
      <w:r>
        <w:t>Auf die - abgesehen vom sprachlichen Mangel - frist- und formgerecht eingereichte Beschwerde ist somit einzutreten (Art. 108 Abs. 1 AsylG i.V.m. Art. 37 VGG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Obwohl der Beschwerdeführer in seinen Eingaben explizit seine eigenen Fluchtgründe dartut und seine Ehefrau im Rahmen ihres rechtlichen Gehörs dazu nicht Stellung genommen hat, hielt das BFM in seiner angefochtenen Entscheid fest, dass sich diese Verfügung auf den Beschwerdeführer, seine Ehefrau und deren Sohn beziehe. Damit rechtfertigt sich die Annahme, die Ehefrau selbst vermöge keine, ihre Person betreffend, zusätzlichen Asylgründe dartun. Wie das BFM geht deshalb auch das Bundesverwaltungsgericht davon aus, die angefochtene Verfügung beziehe sich auch auf die Ehefrau des Beschwerdeführers und deren gemeinsamer Sohn.</w:t>
      </w:r>
    </w:p>
    <w:p>
      <w:r>
        <w:rPr>
          <w:b/>
        </w:rPr>
        <w:t>E. 4.2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4.3</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4.4</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die schweizerische Vertretungen ermächtigen, Asylsuchenden die Einreise zu bewilligen, die glaubhaft machen, dass eine unmittelbare Gefahr für Leib und Leben oder für die Freiheit aus einem Grund nach Art. 3 Abs. 1 AsylG bestehe.</w:t>
      </w:r>
    </w:p>
    <w:p>
      <w:r>
        <w:rPr>
          <w:b/>
        </w:rPr>
        <w:t>E. 4.5</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stellte in der angefochtenen Verfügung fest, der Beschwerdeführer sei nicht schutzbedürftig im Sinne von Art. 3 AsylG. Aus den Akten würden sich verschiedene Ungereimtheiten zwischen den schriftlichen Eingaben und den Aussagen anlässlich der Anhörung durch die Schweizerische Vertretung in Colombo ergeben. So habe der Beschwerdeführer anlässlich seines Asylgesuchs einen Vorfall aus dem Jahr 2005 erwähnt, hingegen im Rahmen der Anhörung nicht. Auch habe er bei seinem schriftlichen Asylgesuch nicht erwähnt, dass es zu Geldforderungen seitens der TMVP gekommen sei. Der Umstand, dass er nach der angeblichen Festnahme im Juni 2008 durch die TMVP und seiner anschliessenden Flucht aus deren Gewahrsam sich mit seiner Familie ohne nennenswerte Schwierigkeiten während Monaten zu Hause aufgehalten habe, weise darauf hin, dass er keiner ernsthaften Verfolgungssituation ausgesetzt gewesen sei. Daran vermöge auch der Hinweis, wonach er bedroht würde nichts zu ändern. Schliesslich seien diese Vorbringen weder mit amtlichen Dokumenten noch anderweitigen Unterlagen belegt. Auch wenn entsprechende Beweismittel fehlten, schliesse das BFM dennoch weder aus, der Beschwerdeführer sei nach seiner Rückkehr in sein Heimatland wiederholt von der LTTE oder von anderen Gruppierungen um finanzielle Unterstützung aufgefordert worden, noch dass er seitens der Armee im Jahre 1994 während eines Tages und im Jahre 2004 während einer Woche festgehalten worden sei und durch den Tsunami im Dezember 2004 materiellen Schaden erlitten habe. Angesichts des zeitlichen Zusammenhangs zwischen den geltend gemachten Vorfällen und der Einreichung des Asylgesuchs seien diese geltend gemachten Vorbringen einreiserechtlich jedoch nicht relevant. Auch seien seine Vorbringen bezüglich der allgemeinen Sicherheitslage in seiner Heimat für eine allfällige Erteilung einer Einreisebewilligung nicht relevant, zumal durch Krieg oder Situationen allgemeiner Gewalt erlittene Nachteile keine Verfolgung im Sinne des Asylgesetzes darstellten, soweit diese nicht auf der Absicht beruhten, einen Menschen aus einem in der in Art. 3 AsylG erwähnten Gründen zu treffen, was vorliegend unter Berücksichtigung der geschilderten Vorfälle nicht der Fall sei. Auch wenn die subjektive Furcht - ihr Vorhandensein einmal vorausgesetzt - des Beschwerdeführers unter Berücksichtigung des Geschilderten verständlich sein möge, genüge diese indessen nicht zur Annahme einer einreiserelevanten Verfolgungsgefahr, zumal vorliegend konkrete Indizien fehlten.</w:t>
      </w:r>
    </w:p>
    <w:p>
      <w:r>
        <w:rPr>
          <w:b/>
        </w:rPr>
        <w:t>E. 5.2</w:t>
      </w:r>
    </w:p>
    <w:p>
      <w:r>
        <w:t>In seiner Rechtsmitteleingabe macht der Beschwerdeführer geltend, dass die Unruhen und Angriffe durch Unbekannte immer noch andauern würden und es für ihn sowie seine Familie nicht möglich sei, in Frieden im Heimatland zu leben. Angesichts der Behelligungen seitens der Sicherheitskräfte und der Mitglieder anderer Gruppierungen habe er weiterhin ein zurückgezogenes Leben geführt. Nach der letzten Präsidentschaftswahl im Februar 2010 hätten die Sicherheitskräfte und andere Gruppenmitglieder sein Dreirad und sein Haus in Brand gesetzt, wobei er gerade noch habe entkommen können. Dennoch sei er von den Sicherheitskräften erneut aufgespürt, verhaftet und in ein Lager gebracht worden. In der Nacht habe er entkommen und zu einem Bekannten flüchten können. Angesichts der bevorstehenden Parlamentswahlen am 8. April 2010 werde überall nach ihm gesucht, und das Verlies, in welchem er eingesperrt gewesen sei, sei am 15. April 2010 in Brand gesteckt worden.</w:t>
      </w:r>
    </w:p>
    <w:p>
      <w:r>
        <w:rPr>
          <w:b/>
        </w:rPr>
        <w:t>E. 5.3</w:t>
      </w:r>
    </w:p>
    <w:p>
      <w:r>
        <w:t>Wie das BFM bereits in der angefochtenen Verfügung festgestellt hat, sind die geltend gemachten Vorbringen des Beschwerdeführers - bei Wahrunterstellung - nicht einreise- und damit auch nicht asylrelevant. So weist er offensichtlich kein Gefährdungsprofil auf und hat keine konkreten Benachteiligungen im Sinne von Art. 3 Asyl erlitten. Vielmehr passierte er auf dem Weg zur Anhörung in der Schweizer Auslandvertretung in Colombo mehrere Checkpoints ohne Probleme und wurde eigenen Angaben gemäss seit dem Jahr 2001 von der LTTE, seit dem Jahr 2006 seitens der SLSF und seitens der TMVP seit dem Jahr 2008 nicht mehr behelligt (vgl. A 13, S. 4 und 6). Abgesehen davon ist er am 11. Januar 2010 nach Colombo gezogen, was nicht nachvollziehbar ist, zumal er zugleich behauptet, weiterhin im Versteckten leben zu müssen. Hätten die heimatlichen Behörden und die Mitglieder anderer Gruppierungen ein effektives Interesse an seiner Person, hätten sie hinreichend Gelegenheit gehabt, den Beschwerdeführer zu verhaften. Ferner vermögen seine Ausführungen in seiner Beschwerdeschrift bezüglich der Vorfälle nach den Präsidentschaftswahlen im Februar 2010, welche ausser der Datierung mit jenen im Jahr 2008 deckungsgleich ausgefallen sind, nicht zu überzeugen und sind als nachgeschobene Sachverhaltsanpassungen an die aktuellste politische Entwicklung in Sri Lanka zu werten. Um weitere Wiederholungen zu vermeiden, kann vorliegend vollumfänglich auf die zutreffenden Erwägungen in der angefochtenen Verfügung verwiesen werden. Dem Beschwerdeführer ist es somit nicht gelungen, eine aktuelle und unmittelbare Gefährdung im Sinne von Art. 3 AsylG beziehungsweise eine künftige, asylrelevante Verfolgung und eine damit einhergehende, begründete Verfolgungsfurcht darzulegen.</w:t>
      </w:r>
    </w:p>
    <w:p>
      <w:r>
        <w:rPr>
          <w:b/>
        </w:rPr>
        <w:t>E. 5.4</w:t>
      </w:r>
    </w:p>
    <w:p>
      <w:r>
        <w:t>Zusammenfassend ist festzustellen, dass der Beschwerdeführer nicht schutzbedürftig im Sinne von Art. 3 AsylG ist. Aufgrund der vorstehenden Erwägungen erübrigt es sich, auf die weiteren Ausführungen sowie das ins Recht gelegte Beweismittel einzugehen, da diese am festgestellten Ergebnis nichts zu ändern vermögen. Das BFM hat demnach die Einreise in die Schweiz zu Recht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