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E-3067/2016 vom 7. Juni 2016</w:t>
      </w:r>
    </w:p>
    <w:p>
      <w:r>
        <w:t>Bundesverwaltungsgericht, 2016-06-07, DE</w:t>
      </w:r>
    </w:p>
    <w:p>
      <w:r>
        <w:rPr>
          <w:b/>
        </w:rPr>
        <w:t xml:space="preserve">Quelle: </w:t>
      </w:r>
      <w:r>
        <w:t>https://mcp.opencaselaw.ch/entscheid/bvger_E-3067_2016</w:t>
      </w:r>
    </w:p>
    <w:p>
      <w:r>
        <w:t>FR: TAF E-3067/2016 du 7 juin 2016</w:t>
      </w:r>
    </w:p>
    <w:p>
      <w:r>
        <w:t>IT: TAF E-3067/2016 del 7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nicht gegen die Ablehnung im Asylpunkt (Dispositiv Ziffer 2), sondern ausschliesslich gegen die nicht anerkannte Flüchtlingseigenschaft (Dispositiv Ziffer 1, Beschwerde S. 3). Der Wegweisungsvollzug wurde bereits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führt aus, die Vorinstanz habe in Verletzung des Untersuchungsgrundsatzes nach Art. 12 VwVG in Verbindung mit Art. 6 AsylG keine Abklärung der für und gegen sie sprechenden Sachverhaltselemente vorgenommen. Es seien stattdessen nur die angeblich gegen sie sprechenden Elemente erwähnt. Geschilderte Glaubwürdigkeitselemente seien unzulässigerweise gänzlich ausgeklammert worden. Hiermit verletze die Vorinstanz ihre Pflicht zur vollständigen und richtigen Abklärung des rechtserheblichen Sachverhaltes.</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 Ferner muss - abgeleitet von Art. 29 VwVG - die Begründung der Behörde so abgefasst sein, dass die oder der Betroffene den Entscheid gegebenenfalls sachgerecht anfechten kann. Sie muss kurz die wesentlichen Überlegungen nennen, von denen sich die Behörde hat leiten lassen und auf die sich der Entscheid stützt. Nicht erforderlich ist, dass sich die Begründung mit allen Parteistandpunkten einlässlich auseinandersetzt und jedes einzelne Vorbringen ausdrücklich widerlegt (vgl. BGE 136 I 184 E. 2.2.1).</w:t>
      </w:r>
    </w:p>
    <w:p>
      <w:r>
        <w:rPr>
          <w:b/>
        </w:rPr>
        <w:t>E. 3.3</w:t>
      </w:r>
    </w:p>
    <w:p>
      <w:r>
        <w:t>Die pauschal getätigte Rüge der rechtsfehlerhaften Sachverhaltsfeststellung geht fehl. Es ist festzustellen, dass im vorliegenden Verfahren auch eine Verletzung der Begründungspflicht nicht ersichtlich ist, weil sich die Vorinstanz mit den entscheidwesentlichen Vorbringen auseinandergesetzt hat. Die Verfügung ist ferner ausreichend begründet, zumal sie sich nicht mit jedem einzelnen Vorbringen auseinandersetzen muss und kann. Dass eine sachgerechte Anfechtung möglich war, zeigt die Beschwerde selbst. In antizipierter Beweiswürdigung ist festzustellen, dass eine ergänzende, vertiefte Sachverhaltsfeststellung bei der Beurteilung des vorliegenden Verfahrens nicht zu einem anderen Entscheid führen kann. Wie im Folgenden zu zeigen sein wird, sind auch die Beweiswürdigung und die Rechtsanwendung der Vorinstanz nicht zu beanstanden.</w:t>
      </w:r>
    </w:p>
    <w:p>
      <w:r>
        <w:rPr>
          <w:b/>
        </w:rPr>
        <w:t>E. 4.1</w:t>
      </w:r>
    </w:p>
    <w:p>
      <w:r>
        <w:t>Gemäss Art. 2 Abs. 1 AsylG gewährt die Schweiz Flüchtlingen grundsätzlich Asyl. Flüchtlingen wird nach Art. 54 AsylG kein Asyl gewählt, wenn sie erst durch ihre Ausreise aus dem Heimat- oder Herkunftsstaat oder wegen ihres Verhaltens nach der Ausreise Flüchtlinge im Sinne von Art. 3 AsylG wurden (subjektive Nachfluchtgründe).</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Vorbringen nicht von Asylrelevanz und welche Aussagen unglaubhaft sind. Die Rechtsmitteleingabe erschöpft sich in pauschaler Kritik, womit sie nicht aufzeigt, inwiefern die vorinstanzliche Beweiswürdigung Bundesrecht verletzen oder zu einer rechtsfehlerhaften Sachverhaltsfeststellung führen soll. Solches ist auch nicht ersichtlich. So wendet sich die Beschwerde auch nur gegen den Vorwurf der unglaubhaften Ausreise (subjektiver Nachfluchtgrund). Die übrigen Schlussfolgerungen der Vorinstanz werden somit implizit bestätigt, so auch die Unglaubhaftigkeit der Vorfluchtgründe (Beschwerde S. 3). Was die Nachfluchtgründe anbelangt, zeichnet sich jedoch kein anderes Bild ab. So wird auf Beschwerdeebene wiederholt und hat die Vorinstanz bereits richtig erkannt, dass ein legales Verlassen Eritreas zwar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drakonischen Massnahmen der sinkenden Wehrbereitschaft und der Massenfluchtbewegung in der Bevölkerung Herr zu werden (vgl. Urteil des BVGer E-5045/2009 vom 29. November 2012 E. 6.4.2 m.w.H.). Aufgrund der Akten stimmt das Gericht jedoch der Vorinstanz zu, dass es den Vorbringen der Beschwerdeführerin zur angeblich illegalen Ausreise an Realkennzeichen fehlt und die Fluchtgeschichte unglaubhaft ausgefallen ist. So sind in Anbetracht der starken Grenzkontrollen und der drakonischen Massnahmen die Antworten - sie wisse nichts vom Grenzübertritt, es habe dabei keine Probleme gegeben - zu oberflächlich und stereotyp (SEM-Akten, A6, S. 7). Gleiches gilt für ihre späteren Erklärungsversuche: "Sie sind mit uns nicht durch die Kontrollen gefahren" sondern "immer am Rand" (SEM-Akten, A24, S. 12). In der Drittbefragung ist die Reiseschilderung zwar etwas ausführlicher, widerspricht sich jedoch erheblich mit derjenigen der Erstbefragung. So will sie nach letzterer zunächst von Asmara nach Tesseney gereist sein (SEM-Akten, A6, S. 7). Gemäss Drittbefragung ist sie jedoch von Asmara nach Barentu gereist; Tesseney erwähnt sie erst auf Nachfrage hin, sei dort aber nur vorbeigereist (SEM-Akten, A24, S. 10 und S. 11 F 98 [als Fortsetzung der Zweitbefragung fängt die Drittbefragung auf der ersten Seite mit Seitenzahl 10 an]). In der Erstbefragung kann sie keine detaillierten Angaben zur Ausreise machen, weil die Fenster des Fahrzeugs verdunkelt gewesen seien. In der Drittbefragung will sie hingegen Bäume auf der Reise gesehen haben, im Übrigen sei es Nacht gewesen und sie habe mehr auf ihre Kinder geschaut (SEM-Akten, A24, S. 11, F 100 und S. 13, F 116). Sie widerspricht sich ferner zur Reihenfolge der Ortschaften, an denen sie vorbei gekommen sein will (SEM-Akten, A24, S. 11 f., F 98-101) sowie zum Wechsel und zur Menge der Fahrzeuge ("sempre con la stessa macchina", SEM-Akten, A6, S. 7 gegen SEM-Akten, A24, S. 10 und S. 13, F 113 ff.). Es ist der Vorinstanz jedoch nicht nur in Bezug auf die Unglaubhaftigkeit beizupflichten, sondern auch darin, dass keine Schwierigkeiten beziehungsweise Realkennzeichen den Schilderungen zu entnehmen sind, was hingegen zu erwarten wäre, wenn die Beschwerdeführerin tatsächlich mit zwei Kleinkindern im Alter von drei und vier Jahren auf einer der gefährlichsten Routen der Welt illegal gereist wäre. Obwohl die Beschwerdeführerin die wahren Umstände ihrer Ausreise verheimlicht, lässt sich zwar noch nicht mit Bestimmtheit auf eine legale Ausreise schliessen. Aber sie kann auch nicht ausgeschlossen werden. Sich auf die Ausreise hinter verdunkelten Scheiben zu berufen, ohne die konkreten Ausreisegründe und -umstände plausibel darzutun,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sowie der unglaubhaften Vorbringen im erstinstanzlichen Verfahren und des Fehlens nachvollziehbarer Erklärungen auf Beschwerdeebene - ist festzustellen, dass die Beschwerdeführerin auch das Vorliegen subjektiver Nachfluchtgründe nicht nachzuweisen oder zumindest glaubhaft zu machen vermag. Die Vorinstanz hat zu Recht das Asylgesuch abgelehnt und die Flüchtlingseigenschaft verneint.</w:t>
      </w:r>
    </w:p>
    <w:p>
      <w:r>
        <w:rPr>
          <w:b/>
        </w:rPr>
        <w:t>E. 5</w:t>
      </w:r>
    </w:p>
    <w:p>
      <w:r>
        <w:t>Gemäss Art. 44 AsylG verfügt das SEM in der Regel die Wegweisung aus der Schweiz, wenn es das Asylgesuch ablehnt oder darauf nicht eintritt. Die Beschwerdeführerin und ihre Kinder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