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E-3065/2018 vom 29. Juni 2018</w:t>
      </w:r>
    </w:p>
    <w:p>
      <w:r>
        <w:t>Bundesverwaltungsgericht, 2018-06-29, DE</w:t>
      </w:r>
    </w:p>
    <w:p>
      <w:r>
        <w:rPr>
          <w:b/>
        </w:rPr>
        <w:t xml:space="preserve">Quelle: </w:t>
      </w:r>
      <w:r>
        <w:t>https://mcp.opencaselaw.ch/entscheid/bvger_E-3065_2018</w:t>
      </w:r>
    </w:p>
    <w:p>
      <w:r>
        <w:t>FR: TAF E-3065/2018 du 29 juin 2018</w:t>
      </w:r>
    </w:p>
    <w:p>
      <w:r>
        <w:t>IT: TAF E-3065/2018 del 29 giugno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Verfahrenszentrum Zürich kommt ausserdem die Testphasenverordnung (TestV) zur Anwendung.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112b Abs. 3 AsylG i.V.m. Art. 38 TestV;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Vorweg ist die Rüge der unvollständigen Sachverhaltsfeststellung zu prüfen, da ein allenfalls ungenügend abgeklärter Sachverhalt eine materielle Behandlung verunmöglichen würde. Zur Begründung dieser Rüge wurde vorgebracht, die neuen Vorbringen in der Stellungnahme zum Entscheidentwurf, die das Profil des Beschwerdeführers schärfen würden, seien von der Vorinstanz nicht weiter abgeklärt worden, weshalb eine Rückweisung der Sache zwecks neuer Anhörung des Beschwerdeführers angebracht sei.</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allfällige Beweismittel vollständig zu bezeichnen und unverzüglich einzureichen (vgl. BVGE 2011/28 E. 3.4). Unvollständig ist die Sachverhaltsfeststellung, wenn nicht alle für den Entscheid rechtswesentlichen Sachumstände berücksichtigt werden (vgl. Kölz/Häner/Bertschi, Verwaltungsverfahren und Verwaltungsrechtspflege des Bundes, 3. Aufl. 2013, Rz. 1043).</w:t>
      </w:r>
    </w:p>
    <w:p>
      <w:r>
        <w:rPr>
          <w:b/>
        </w:rPr>
        <w:t>E. 3.3</w:t>
      </w:r>
    </w:p>
    <w:p>
      <w:r>
        <w:t>Die Verfügung vom 15. Mai 2018 hielt hinsichtlich der neuen Vorbringen fest, dass - ohne ausführlich die Glaubhaftigkeit der Vorbringen zu prüfen - deren Wahrheitsgehalt zweifelhaft erscheine, wenn sie ohne zwingenden Grund erst im späteren Verlauf des Verfahrens geltend gemacht würden. Es sei nicht nachvollziehbar, dass ein solch zentraler Aspekt der Asylbegründung keine Erwähnung in der Anhörung gefunden habe. Ungeachtet des Gesagten sei zwar von einer weiteren Schärfung des Gefährundungsprofils des Beschwerdeführers hinsichtlich einer Verfolgung durch die ELN auszugehen, indes sei die Schutzfähigkeit und -willigkeit des kolumbianischen Staates nach wie vor gegeben, weshalb die neuen Vorbringen keine veränderte Ausgangslage offenbare.</w:t>
      </w:r>
    </w:p>
    <w:p>
      <w:r>
        <w:rPr>
          <w:b/>
        </w:rPr>
        <w:t>E. 3.4</w:t>
      </w:r>
    </w:p>
    <w:p>
      <w:r>
        <w:t>Die Feststellungen des SEM sind nicht zu bemängeln. So hat es die neuen Vorbringen, welche im Rahmen der Stellungnahme eingebracht wurden, genügend berücksichtigt, abgehandelt und gewürdigt. Alleine der Umstand, dass das SEM aus sachlichen Gründen zu einem anderen Ergebnis als der Beschwerdeführer kommt, spricht weder für eine ungenügende Sachverhaltsdarstellung noch stellt dies eine Verletzung der Begründungspflicht dar. Dementsprechend liegt kein Grund für eine Rückweisung der Sache an die Vorinstanz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Eine Verfolgung durch nichtstaatliche Akteure - wie vorliegend die ELN - kann grundsätzlich flüchtlingsrelevant sein, wenn es der betroffenen Person nicht möglich ist, davor im Heimatstaat adäquaten Schutz zu finden. Nach der sogenannten Schutztheorie ist nichtstaatliche Verfolgung nur dann asylrelevant, wenn der Staat unfähig oder nicht willens ist, Schutz vor besagter Verfolgung zu bieten. Es ist dabei vom Staat nicht 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ob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Kontexts zu beurteilen ist.</w:t>
      </w:r>
    </w:p>
    <w:p>
      <w:r>
        <w:rPr>
          <w:b/>
        </w:rPr>
        <w:t>E. 5.2</w:t>
      </w:r>
    </w:p>
    <w:p>
      <w:r>
        <w:t>Dem SEM ist zuzustimmen, wenn es festhält, dass der kolumbianische Staat über eine funktionierende Schutzinfrastruktur verfügt. Bestätigend hierfür sind die eingereichten und entgegengenommenen Anzeigen des Beschwerdeführers und seiner Mutter sowie seine Anerkennung als Opfer des Bürgerkrieges. Als Schutzmassnahme wurde schliesslich die einmonatige Unterbringung im Haus G._______ in Bogotá offeriert. Danach liegt es offensichtlich an der betroffenen Person, die eigene Verantwortung wieder zu übernehmen. So kann nicht gesagt werden, der kolumbianische Staat sei nicht willens, Schutz zu bieten. Auch scheint nicht von Bedeutung, welche Guerilla-Gruppe - die ELN oder die FARC (Fuerzas Armadas Revolucionarias de Colombia), welche im Gegensatz zur ELN am aktuellen Friedensprozess beteiligt ist - die betroffene Person zu einem Opfer des Bürgerkrieges gemacht hat. Des Weiteren wurde dem Beschwerdeführer bei seiner Anzeigeerstattung im Büro für Menschenrechtsfragen in B._______ geraten, Zeugen zu beschaffen (A15 F85). Aus den Akten geht nicht hervor, ob er diesen Anweisungen gefolgt ist. Auch hier kann nicht von einem fehlenden Schutzwillen ausgegangen werden.</w:t>
      </w:r>
    </w:p>
    <w:p>
      <w:r>
        <w:rPr>
          <w:b/>
        </w:rPr>
        <w:t>E. 5.3</w:t>
      </w:r>
    </w:p>
    <w:p>
      <w:r>
        <w:t>Überdies fürchtet der Beschwerdeführer aus subjektiver Sicht, durch die Mitglieder der ELN ausfindig gemacht und verfolgt zu werden. Dies ist zwar nachvollziehbar; aus objektiver Sicht bestehen indes keine Hinweise, dass er während seines Aufenthaltes in Bogotá einer Verfolgung durch die ELN ausgesetzt gewesen war oder eine solche zu befürchten hatte oder hat (A15 F101 ff.). Ferner stellt er, wie das SEM bereits feststellte, keine bekannte Persönlichkeit dar, weshalb er sich durch einen Wegzug in einen anderen Teil des Landes der Verfolgung entziehen könnte.</w:t>
      </w:r>
    </w:p>
    <w:p>
      <w:r>
        <w:rPr>
          <w:b/>
        </w:rPr>
        <w:t>E. 5.4</w:t>
      </w:r>
    </w:p>
    <w:p>
      <w:r>
        <w:t>Das Bundesverwaltungsgericht geht daher wie das SEM davon aus, dass in casu keine asylrelevante Verfolgung vorliegt. Dem Beschwerdeführer steht bei einer Rückkehr nach Kolumbien ferner eine innerstaatliche Schutzalternative auf dem Staatsgebiet von Kolumbien zur Verfügung, was einen notwendigen Schutz eines Drittstaates ausschliesst. Die Behauptung, dass der Beschwerdeführer als ehemaliger Berufssoldat immer und überall als Feind der Guerilla angesehen werden könnte, ist ungenügend, um deshalb von einer begründeten Furcht vor asylrelevanten Nachteilen auszugehen. Zum einen ist er seit dem Jahr 2004 nicht mehr in der Armee tätig und gab nie an, deshalb behelligt worden zu sein. Zum andern war er für die ELN wegen seines Taxi von Interesse, um für diese Transporte zu tätigen. Das SEM hat folglich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Kolumbien ist demnach unter dem Aspekt von Art. 5 AsylG rechtmässig. Sodann ergeben sich weder aus den Aussagen des Beschwerdeführers noch aus den Akten Anhaltspunkte dafür, dass er für den Fall einer Ausschaffung in Kolumbien dort mit beachtlicher Wahrscheinlichkeit einer nach Art. 3 EMRK oder Art. 1 FoK verbotenen Strafe oder Behandlung ausgesetzt wäre. Zwar bestreitet auch das SEM eine gewisse Gefährdung des Beschwerdeführers nicht. Wie bereits im Rahmen der Prüfung der Flüchtlingseigenschaft festgehalten, stehen ihm aber hinreichend effiziente Schutzstrukturen im Heimatstaat zur Verfügung und die hohen Anforderungen an ein "real risk" sind nicht erfüllt.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Kolumbien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Kolumbien fand über fünfzig Jahre ein bewaffneter Konflikt zwischen den kolumbianischen Streitkräften, der FARC, der ELN und paramilitärischen Gruppen statt. Im November 2016 wurde der aktuelle Friedensvertrag zwischen dem kolumbianischen Staat und der FARC geschlossen, der später von beiden Kammern des Kongresses gutgeheissen wurde. Nicht vergessen bleibt, dass allen Parteien während des Konflikts schwere Menschenrechtsverletzungen vorgeworfen wurden; bei den meisten Opfern handelt es sich um Zivilpersonen. Gemessen an der allgemeinen Lage in Kolumbien von heute sind jedoch keine Vollzugshindernisse im Sinne der Unzumutbarkeit erkennbar.</w:t>
      </w:r>
    </w:p>
    <w:p>
      <w:r>
        <w:rPr>
          <w:b/>
        </w:rPr>
        <w:t>E. 7.3.2</w:t>
      </w:r>
    </w:p>
    <w:p>
      <w:r>
        <w:t>Auch aus individueller Sicht ist der Wegweisungsvollzug zumutbar. Der Beschwerdeführer verfügt in seiner Heimat über ein funktionierendes Beziehungsnetz und über eine gute Ausbildung. Auch aufgrund seiner Berufserfahrung ist den Erwägungen des SEM zuzustimmen, dass nicht davon auszugehen ist, dass er bei einer Rückkehr nach Kolumbien in eine existenzbedrohende Situation geraten wird. Die gesundheitliche Situation des Beschwerdeführers - er leide unter Angstzuständen - vermag diese Ansicht nicht umzustürzen. Es kann diesbezüglich vollumfänglich auf die zutreffende Begründung in der angefochtenen Verfügung verwiesen werden.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der Beschwerde wurde die Gewährung der unentgeltlichen Prozessführung, ein Verzicht auf die Erhebung eines Kostenvorschusses und die amtliche Rechtsbeiständung der Rechtsvertreterin beantragt. Aufgrund der vorstehenden Erwägungen ergibt sich, dass die Begehren als aussichtslos zu gelten haben. Damit ist eine der kumulativ zu erfüllenden Voraussetzungen nicht gegeben, weshalb dem Gesuch um Gewährung der unentgeltlichen Prozesshilfe (Art. 65 Abs. 1 VwVG) nicht stattzugeben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9.3</w:t>
      </w:r>
    </w:p>
    <w:p>
      <w:r>
        <w:t>Das Gesuch um unentgeltliche Rechtsverbeiständung im Sinne von Art. 110a AsylG ist mangels Erfüllens der Voraussetzungen von Art. 65 Abs. 1 VwVG ebenfalls abzuweisen.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