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E-3064/2013 vom 19. Februar 2014</w:t>
      </w:r>
    </w:p>
    <w:p>
      <w:r>
        <w:t>Bundesverwaltungsgericht, 2014-02-19, FR</w:t>
      </w:r>
    </w:p>
    <w:p>
      <w:r>
        <w:rPr>
          <w:b/>
        </w:rPr>
        <w:t xml:space="preserve">Quelle: </w:t>
      </w:r>
      <w:r>
        <w:t>https://mcp.opencaselaw.ch/entscheid/bvger_E-3064_2013</w:t>
      </w:r>
    </w:p>
    <w:p>
      <w:r>
        <w:t>FR: TAF E-3064/2013 du 19 février 2014</w:t>
      </w:r>
    </w:p>
    <w:p>
      <w:r>
        <w:t>IT: TAF E-3064/2013 del 19 febbraio 2014</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 2.L'autorité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24 avril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5.1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5.2</w:t>
      </w:r>
    </w:p>
    <w:p>
      <w:r>
        <w:t>Le recourant doit en l'espèce être considéré comme ayant obtenu gain de cause, dans la mesure où il est fait droit à sa conclusion tendant à l'annulation de la décision attaquée. Cela étant, le recourant n'ayant pas fait appel aux services d'un mandataire professionnel et la cause ne lui ayant pas occasionné de frais indispensables et relativement élevés, il n'y a pas lieu de lui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