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E-3057/2020 vom 12. Juli 2023</w:t>
      </w:r>
    </w:p>
    <w:p>
      <w:r>
        <w:t>Bundesverwaltungsgericht, 2023-07-12, DE</w:t>
      </w:r>
    </w:p>
    <w:p>
      <w:r>
        <w:rPr>
          <w:b/>
        </w:rPr>
        <w:t xml:space="preserve">Quelle: </w:t>
      </w:r>
      <w:r>
        <w:t>https://mcp.opencaselaw.ch/entscheid/bvger_E-3057_2020</w:t>
      </w:r>
    </w:p>
    <w:p>
      <w:r>
        <w:t>FR: TAF E-3057/2020 du 12 juillet 2023</w:t>
      </w:r>
    </w:p>
    <w:p>
      <w:r>
        <w:t>IT: TAF E-3057/2020 del 12 luglio 2023</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Im Zusammenhang mit dem Auskunftsersuchen über den Spruchkörper ist festzuhalten, dass die Zusammensetzung dem Beschwerdeführer mit Zwi- schenverfügung vom 19. Oktober 2020 unter Vorbehalt allfälliger Wechsel mitgeteilt wurde. Soweit er diesbezüglich beantragt, es seien ihm auch die Modalitäten der Spruchkörperbildung bekannt zu geben, kann mitgeteilt</w:t>
      </w:r>
    </w:p>
    <w:p>
      <w:r>
        <w:t>E-3057/2020 Seite 5 werden, dass eine Neubesetzung des Spruchkörpers infolge eines inter- nen Abteilungswechsels einer Richterperson und eine manuelle Anpas- sung aufgrund von objektiven und im Voraus bestimmten Kriterien vorge- nommen wurden (Art. 31 Abs. 3 VGR [SR 173.320.1]). Als objektive Krite- rien in diesem Sinne gelten Amtssprache, Beschäftigungsgrad, Belastung durch die Mitarbeit in Gerichtsgremien, Vorbefassung, Kammerzuständig- keit, Austritt, Erweiterung des Spruchkörpers, Ausstand, enger Sachzu- sammenhang, Abwesenheit sowie Ausgleich der Belastungssituation. So- fern seine Auskunftsbegehren über diese Informationen hinausgehen, sind die Anträge auf Auskunft abzuweisen (zur entsprechenden Auskunftspraxis des Gerichts vgl. BVGE 2022 I/2).</w:t>
      </w:r>
    </w:p>
    <w:p>
      <w:r>
        <w:rPr>
          <w:b/>
        </w:rPr>
        <w:t>E. 4</w:t>
      </w:r>
    </w:p>
    <w:p>
      <w:r>
        <w:t>Der Beschwerdeführer erhebt diverse verfahrensrechtliche Rügen, die ge- eignet sein könnten, eine Kassation des vorinstanzlichen Entscheids zu bewirken; diese sind praxisgemäss vorab zu behandeln. Sofern sie jedoch einen engen oder überwiegenden Bezug zur materiellen Einschätzung der Flüchtlingseigenschaft aufweisen, werden sie dort behandelt.</w:t>
      </w:r>
    </w:p>
    <w:p>
      <w:r>
        <w:rPr>
          <w:b/>
        </w:rPr>
        <w:t>E. 4.1</w:t>
      </w:r>
    </w:p>
    <w:p>
      <w:r>
        <w:t>Soweit der Beschwerdeführer den zeitlichen Abstand der durchgeführ- ten BzP zur späteren Anhörung beanstandet, ist festzuhalten, dass eine zeitnahe Anhörung durchaus wünschenswert ist. Gemäss konstanter Rechtsprechung ist daraus jedoch nicht auf eine Verletzung von Verfah- rensrechten, namentlich des rechtlichen Gehörs, zu schliessen, zumal es sich dabei nicht um eine justiziable Verfahrenspflicht handelt (vgl. statt vie- ler: Urteile des BVGer E-3609/2019 vom 29. Oktober 2019 E. 4.3.3; E-1277/2018 vom 3. April 2018 E. 4.3).</w:t>
      </w:r>
    </w:p>
    <w:p>
      <w:r>
        <w:rPr>
          <w:b/>
        </w:rPr>
        <w:t>E. 4.2</w:t>
      </w:r>
    </w:p>
    <w:p>
      <w:r>
        <w:t>Der Beschwerdeführer rügt ferner eine Verletzung seiner Verfahrens- rechte, weil in der angefochtenen Verfügung die Situation in seinem Hei- matland zu wenig berücksichtigt worden sei. Soweit die Vorinstanz in ihrem Entscheid zur Feststellung gelangte, die Fluchtvorbringen seien unglaub- haft, ist nicht zu beanstanden, dass sie sich nicht vertieft mit der Ländersi- tuation auseinandersetzte. Sodann kann dem Entscheid entnommen wer- den, dass die Vorinstanz im Zusammenhang mit den Risikofaktoren durch- aus die zum Entscheidzeitpunkt aktuellen politischen Ereignisse in ange- messener Weise in die Erwägungen einfliessen liess. Die Rüge erweist sich als unbegründet. Soweit der Beschwerdeführer in diesem Zusammen- hang sinngemäss geltend macht, die Vorinstanz habe seine Gefährdung falsch eingeschätzt, stellt dies eine materielle Frage dar und ist auf die nachfolgenden Ausführungen zu verweisen.</w:t>
      </w:r>
    </w:p>
    <w:p>
      <w:r>
        <w:t>E-3057/2020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2012/5 E. 2.2).</w:t>
      </w:r>
    </w:p>
    <w:p>
      <w:r>
        <w:rPr>
          <w:b/>
        </w:rPr>
        <w:t>E. 6</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wird in der angefochtenen Verfügung ausgeführt, die Schilderungen des Beschwerdeführers zu seiner Verhaftung, seinem Haft- aufenthalt, der Freilassung sowie zu dem anschliessenden Aufenthalt seien knapp, oberflächlich sowie weitgehend ohne Realkennzeichen aus- gefallen. Bisweilen weise er einen auffällig niedrigen Wissenstand im Zu- sammenhang mit den Umständen zu seiner Fluchtgeschichte auf und er habe auch auf Nachfrage hin seine Aussagen nicht zu plausibilisieren ver- mocht. Insbesondere habe er keine relevanten Details zur angeblich ge- planten Märtyreraktion geben können. Sodann sei aufgrund seines relativ niedrigen politischen Profils nicht nachvollziehbar, weshalb er überhaupt in den Fokus der Behörden geraten und unter Misshandlungen zu LTTE-</w:t>
      </w:r>
    </w:p>
    <w:p>
      <w:r>
        <w:t>E-3057/2020 Seite 7 Mitgliedern befragt worden sein soll, weise er doch keinerlei Verbindung zu dieser Organisation auf. Aufgrund einer Analyse sei den eingereichten Be- weismitteln – Haftbefehl sowie Polizeinachricht – die Authentizität abzu- sprechen. Die eingereichten Schreiben eines Anwalts sowie eines Regio- nalpolitikers würden teilweise ebenfalls gewisse Unstimmigkeiten sowie den Anschein von Gefälligkeitsschreiben aufweisen. Insgesamt gelinge es dem Beschwerdeführer nicht, die von ihm geschilderte Verfolgungssitua- tion glaubhaft zu machen. Schliesslich bestehe auch unter dem Aspekt möglicher Risikofaktoren keine Veranlassung zur Annahme, der Beschwer- deführer sei bei einer Rückkehr in seinem Heimatland mit hoher Wahr- scheinlichkeit flüchtlingsrechtlich relevanter Verfolgung ausgesetzt. Sol- ches ergebe sich auch nicht aus den Asyldossiers seiner in der Schweiz lebenden Verwandten.</w:t>
      </w:r>
    </w:p>
    <w:p>
      <w:r>
        <w:rPr>
          <w:b/>
        </w:rPr>
        <w:t>E. 7</w:t>
      </w:r>
    </w:p>
    <w:p>
      <w:r>
        <w:t>In der Rechtsmitteleingabe wird im Wesentlichen ausgeführt, in der ange- fochtenen Verfügung werde nicht berücksichtigt, dass der Beschwerdefüh- rer mit seinen Freunden im Haus des ehemaligen LTTE-Führers habe Ker- zen anzünden wollen, was gegenüber den sri-lankischen Behörden eine ungeheurere Provokation darstelle. Das Risikoprofil des Beschwerdefüh- rers sei insbesondere vor dem Hintergrund der Bedeutung dieser geplan- ten Aktion zu beurteilen. Diese sei zwar nie in die Tat umgesetzt worden, dennoch hätten die Behörden von diesem Plan Kenntnis erhalten, wobei der Beschwerdeführer nicht wisse, wie dies möglich gewesen sei. Des Wei- teren habe er sich in der Schweiz exilpolitisch engagiert.</w:t>
      </w:r>
    </w:p>
    <w:p>
      <w:r>
        <w:rPr>
          <w:b/>
        </w:rPr>
        <w:t>E. 8.1</w:t>
      </w:r>
    </w:p>
    <w:p>
      <w:r>
        <w:t>Der Beschwerdeführer war nach eigenen Aussagen bereits vor seiner geltend gemachten Verhaftung politisch engagiert, habe bis zu diesem Zeitpunkt jedoch nie Probleme mit den Behörden gehabt (vgl. SEM-Akten A18/17 F58). Aus den Vorbringen deutet demnach nichts darauf hin, dass er aufgrund seines eher niederschwelligen politische Engagements (vgl. a.a.O. F96 ff.) im Fokus der Behörden stand und er macht auch nicht geltend, dass er – er war bei Kriegsende zirka (…) Jahre alt – oder seine Familienangehörigen irgendwelche nennenswerte Verbindungen zu den LTTE aufweisen. Insofern scheint es bemerkenswert, dass er aufgrund ei- ner bloss in Gesprächen mit Freunden angedachten Märtyreraktion – selbst unter Berücksichtigung der vom Beschwerdeführer behaupteten symbolischen beziehungsweise politischen Bedeutung – noch vor deren Verwirklichung festgenommen und unter Misshandlungen zu LTTE-Verbin- dungen befragt worden sein soll. Dies umso mehr, als er nicht weiss und</w:t>
      </w:r>
    </w:p>
    <w:p>
      <w:r>
        <w:t>E-3057/2020 Seite 8 damit auch nicht nachvollziehbar darlegen kann, wie die Behörden von der angeblichen geplanten oder auch nur angedachten Aktion überhaupt hät- ten Kenntnis erhalten können. Bei dieser Ausgangslage musste sich die Vorinstanz auch nicht vertieft mit der Bedeutung der geplanten Aktion aus- einandersetzen, weshalb sich die in diesem Zusammenhang erhobenen Rügen der Verletzung der Pflicht zur sorgfältigen Sachverhaltsabklärung beziehungsweise zur Gewährung des rechtlichen Gehörs als unbegründet erweisen. Mit der Vorinstanz ist sodann darin übereinzugehen, dass der Beschwer- deführer die Umstände und insbesondere die ihm während der immerhin mehrtätigen Haft gestellten Fragen auch auf Nachfrage hin nur unsubstan- tiiert und knapp wiederzugeben vermochte (vgl. a.a.O. F60 ff.). Aus seinen Schilderungen geht unter anderem auch nicht restlos klar hervor, wie sein Vater überhaupt von seiner Verhaftung erfahren haben soll. Wären anläss- lich der Verhaftung tatsächlich Zeugen anwesend gewesen, so konnte ihnen der Arrestort nicht zwingend bekannt gewesen sein, so dass der Va- ter aus reinem Zufall davon erfahren zu haben scheint (vgl. a.a.O. F77). Des Weiteren bestreitet der Beschwerdeführer nicht, dass es sich bei der polizeilichen Nachricht sowie dem Haftbefehl – wie von der Vorinstanz fest- gehalten – um Fälschungen handeln könnte, weshalb er diesbezüglich nichts zu seinen Gunsten abzuleiten vermag. Insbesondere soweit er auf Beschwerdeebene die Vermutung aufzustellen scheint, die Dokumente seien von den Behörden gefälscht übergeben worden und daraus den Nachweis ableitet, dass er im Heimatland aufgrund des familiären Wohl- standes erpresst werde, vermag er dies nicht überzeugend darzulegen. Gleiches gilt für die damit zusammenhängende Rüge der ungenügenden Sachverhaltsfeststellung, welche sich als unbegründet erweist. Bei dieser Ausgangslage vermag der Beschwerdeführer auch aus den eingereichten Schreiben eines Regionalpolitikers sowie eines Anwaltes, welche die Fluchtvorbringen des Beschwerdeführers in knapper Form bestätigen, nichts zu seinen Gunsten abzuleiten. Die inhaltlichen Vorbehalte, welche die Vorinstanz an den Schreiben äusserte, konnte der Beschwerdeführer in der Rechtsmitteleingabe nicht überzeugend ausräumen. Ergänzend ist festzuhalten, dass er auch auf Beschwerdeebene keine eigenen konkreten Fluchtgründe im Zusammenhang mit den Asyldossiers seiner sich seit zirka (…) beziehungsweise (…) Jahren in der Schweiz aufhaltendenden Verwandten in der Seitenlinie geltend macht und es kann diesbezüglich auf die Ausführungen in der angefochtenen Verfügung verwiesen werden.</w:t>
      </w:r>
    </w:p>
    <w:p>
      <w:r>
        <w:t>E-3057/2020 Seite 9 Angesichts des vorstehend Ausgeführten ist im Ergebnis festzuhalten, dass es dem Beschwerdeführer nicht gelingt, die von ihm geltend gemach- ten Fluchtvorbringen glaubhaft darzulegen.</w:t>
      </w:r>
    </w:p>
    <w:p>
      <w:r>
        <w:rPr>
          <w:b/>
        </w:rPr>
        <w:t>E. 8.2</w:t>
      </w:r>
    </w:p>
    <w:p>
      <w:r>
        <w:t>Es bleibt zu prüfen, ob der Beschwerdeführer zum heutigen Zeitpunkt bei einer Rückkehr nach Sri Lanka aufgrund möglicher Risikofaktoren mit beachtlicher Wahrscheinlichkeit ernsthafte Nachteile gemäss Art. 3 AsylG zu befürchten hat. 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gut sichtbare Nar- ben und eine gewisse Aufenthaltsdauer in einem westlichen Land schwach risikobegründende Faktoren dar. Von den Rückkehrenden, die diese Risi- kofaktoren erfüllten, habe jedoch nur jene kleine Gruppe tatsächlich mit beachtlicher Wahrscheinlichkeit ernsthafte Nachteile im Sinne von Art. 3 AsylG zu befürchten. Mit Blick auf die dargelegten Risikofaktoren seien in erster Linie jene Rückkehrer gefährdet, deren Namen in der am Flughafen in Colombo abrufbaren "Stop List" vermerkt seien und der Eintrag den Hin- weis auf eine Verhaftung beziehungsweise einen Strafregistereintrag im Zusammenhang mit einer tatsächlichen oder vermuteten Verbindung zu den LTTE enthalte. Entsprechendes gelte für sri-lankische Staatsangehö- rige, die sich im Ausland regimekritisch betätigt hätten (vgl. a.a.O. E. 8). Diese Rechtsprechung gilt auch vor dem Hintergrund des im Jahre 2022 stattgefunden Regierungswechsels weiter (vgl. statt vieler: Urteil des- BVGer E-3280/2019 vom 5. Juni 2023 E. 7.2 m.w.H.). Der Beschwerdeführer weist unter anderem weder einen relevanten Bezug zur LTTE auf, noch legt er die behauptete exilpolitische Tätigkeit und deren Ausmass durch substantiierte Angaben oder entsprechende Unterlagen</w:t>
      </w:r>
    </w:p>
    <w:p>
      <w:r>
        <w:t>E-3057/2020 Seite 10 dar. Auch das Vorliegen anderer Risikofaktoren, welche eine Gefährdung im Falle einer Rückkehr befürchten lassen könnten, sind nicht aktenkundig.</w:t>
      </w:r>
    </w:p>
    <w:p>
      <w:r>
        <w:rPr>
          <w:b/>
        </w:rPr>
        <w:t>E. 8.3</w:t>
      </w:r>
    </w:p>
    <w:p>
      <w:r>
        <w:t>Aufgrund des unter den vorstehenden Ziffern Ausgeführte ist festzuhal- ten, dass die Vorinstanz die Flüchtlingseigenschaft des Beschwerdeführers zu Recht verneint und sein Asylgesuch abgelehnt hat.</w:t>
      </w:r>
    </w:p>
    <w:p>
      <w:r>
        <w:rPr>
          <w:b/>
        </w:rPr>
        <w:t>E. 9</w:t>
      </w:r>
    </w:p>
    <w:p>
      <w:r>
        <w:t>Lehnt das SEM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 stellung der Flüchtlinge [FK, SR 0.142.30]). Gemäss Art. 25 Abs. 3 BV, Art. 3 des Übereinkommens vom 10. Dezember 1984 gegen Folter und an- dere grausame, unmenschliche oder erniedrigende Behandlung oder</w:t>
      </w:r>
    </w:p>
    <w:p>
      <w:r>
        <w:t>E-3057/2020 Seite 11 Strafe (FoK, SR 0.105) und der Praxis zu Art. 3 EMRK darf niemand der Folter oder unmenschlicher oder erniedrigender Strafe oder Behandlung unterworfen werden.</w:t>
      </w:r>
    </w:p>
    <w:p>
      <w:r>
        <w:t>Da es dem Beschwerdeführer nicht gelungen ist, eine asylrechtlich erheb- liche Gefährdung nachzuweisen oder glaubhaft zu machen, kann der in Art. 5 AsylG verankerte Grundsatz der Nichtrückschiebung im vorliegen- den Verfahren keine Anwendung finden. Eine Rückkehr des Beschwerde- führers nach Sri Lanka ist demnach unter dem Aspekt von Art. 5 AsylG rechtmässig.</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FK verbotenen Strafe oder Behandlung ausgesetzt wäre. Gemäss Praxis des Europäischen Gerichtshofes für Menschenrechte (EGMR) sowie jener des UN-Anti-Folterausschusses müsste der Beschwerdeführer eine konkrete Gefahr ("real risk") nachwei- sen oder glaubhaft machen, dass ihr im Fall einer Rückschiebung Folter oder unmenschliche Behandlung drohen würde (vgl. Urteil des EGMR Saadi gegen Italien 28. Februar 2008, Grosse Kammer 37201/06, §§ 124– 127 m.w.H.). Zudem ergeben sich auch keine konkreten Hinweise darauf, dass er bei einer Rückkehr nach Sri Lanka mit beachtlicher Wahrschein- lichkeit Massnahmen zu befürchten hätte, die über einen sogenannten "Background Check" (Befragung und Überprüfung von Tätigkeiten im In- und Ausland) hinausgehen würden, oder dass er persönlich gefährdet wäre. Die allgemeine Menschenrechtssituation in Sri Lanka lässt den Wegwei- sungsvollzug nach Auffassung des Gerichts nicht unzulässig erscheinen (vgl. Urteil des BVGer E-1866/2015 vom 15. Juli 2016 E. 12.2). Auch der EGMR hat sich mit der Gefährdungssituation im Hinblick auf eine EMRK- widrige Behandlung namentlich für Tamilen, die aus einem europäischen Land nach Sri Lanka zurückkehren müssen, wiederholt befasst (vgl. EGMR, R.J. gegen Frankreich, Urteil vom 19. September 2013, Be- 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w:t>
      </w:r>
    </w:p>
    <w:p>
      <w:r>
        <w:t>E-3057/2020 Seite 12 zurückkehrenden Tamilen drohe eine unmenschliche Behandlung. Daran vermögen auch die jüngsten Entwicklungen in Sri Lanka nichts zu ändern (vgl. statt vieler: Urteil des BVGer D-1208/2020 vom 15. Mai 2023 E. 10.3.3 m.w.H.).</w:t>
      </w:r>
    </w:p>
    <w:p>
      <w:r>
        <w:rPr>
          <w:b/>
        </w:rPr>
        <w:t>E. 10.2.3</w:t>
      </w:r>
    </w:p>
    <w:p>
      <w:r>
        <w:t>Nach dem Gesagten ist der Vollzug der Wegweisung sowohl im Sinn der flüchtlings- als auch der völkerrechtlichen Bestimmungen zuläs- 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Aktuell herrscht in Sri Lanka weder Krieg noch eine Situation allgemeiner Gewalt. Der Wegweisungsvollzug in die Nordprovinz Sri Lankas ist zumut- bar, wenn das Vorliegen der individuellen Zumutbarkeitskriterien (insbe- sondere Existenz eines tragfähigen familiären oder sozialen Beziehungs- netzes sowie Aussichten auf eine gesicherte Einkommens- und Wohnsitu- ation) bejaht werden kann (vgl. E-1866/2015 E.13.2). An dieser Einschät- zung ist auch unter Berücksichtigung der aktuellen Entwicklungen in Sri Lanka, insbesondere auch der schweren Wirtschaftskrise im Land, welche die ganze sri-lankische Bevölkerung betrifft (vgl. statt vieler: Urteil des BVGer D-1263/2020 vom 18. August 2022 E. 8.4.1) festzuhalten.</w:t>
      </w:r>
    </w:p>
    <w:p>
      <w:r>
        <w:rPr>
          <w:b/>
        </w:rPr>
        <w:t>E. 10.3.2</w:t>
      </w:r>
    </w:p>
    <w:p>
      <w:r>
        <w:t>Die Vorinstanz hat bereits zutreffend festgestellt, dass es sich beim Beschwerdeführer um einen (…), gesunden Mann mit Schulabschluss so- wie Arbeitserfahrung und stabilen familiären Beziehungsnetz im Heimat- land handelt. Die Rechtsmitteleingabe enthält keine substantiierten Vor- bringen zur individuellen Zumutbarkeit der Rückführung. Auch die gegen- wärtige Wirtschaftskrise in Sri Lanka steht dem Wegweisungsvollzug nicht in genereller Weise entgegen (vgl. die bereits unter E. 10.3.1 erwähnte Praxis). Die Situation des Beschwerdeführers scheint diesbezüglich inso- fern begünstigt, da seine Familie nach seinen Angaben zur Oberschicht gehört (vgl. SEM-Akten A18/17 F20) und er über Verwandte in der Schweiz sowie C._______ verfügt, welche die Familie im Falle eines materiellen Notstandes allenfalls unterstützen könnten (vgl. SEM-Akten A4/11 Ziff. 3.02 f.).</w:t>
      </w:r>
    </w:p>
    <w:p>
      <w:r>
        <w:t>E-3057/2020 Seite 13 Der Wegweisungsvollzug erweist sich somit auch in individueller Hinsicht als zumutbar.</w:t>
      </w:r>
    </w:p>
    <w:p>
      <w:r>
        <w:rPr>
          <w:b/>
        </w:rPr>
        <w:t>E. 10.4</w:t>
      </w:r>
    </w:p>
    <w:p>
      <w:r>
        <w:t>Schliesslich verfügt der Beschwerdeführer über eine Identitätskarte und obliegt es ihm, sich bei der zuständigen Vertretung des Heimatstaates die für eine Rückkehr notwendigen Reisedokumente zu beschaffen (Art. 8 Abs. 4 AsylG; vgl. BVGE 2008/34 E. 12), weshalb der Vollzug der Wegwei- 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12</w:t>
      </w:r>
    </w:p>
    <w:p>
      <w:r>
        <w:t>Bei diesem Ausgang des Verfahrens sind die Verfahrenskosten den Be- schwerdeführenden aufzuerlegen (Art. 63 Abs. 1 VwVG) und angesichts der umfangreichen Beschwerdeeingaben sowie zahlreichen Beilagen auf Fr. 1’500.– festzusetzen (Art. 1–3 des Reglements vom 21. Februar 2008 über die Kosten und Entschädigungen vor dem Bundesverwaltungsgericht [VGKE; SR 173.320.2]). Der am 3. November 2020 geleistete Kostenvor- schuss in gleicher Höhe ist zur Bezahlung der Verfahrenskosten zu ver- wenden.</w:t>
      </w:r>
    </w:p>
    <w:p>
      <w:r>
        <w:t>(Dispositiv nächste Seite)</w:t>
      </w:r>
    </w:p>
    <w:p>
      <w:r>
        <w:t>E-3057/2020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