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E-3055/2023 vom 31. Mai 2023</w:t>
      </w:r>
    </w:p>
    <w:p>
      <w:r>
        <w:t>Bundesverwaltungsgericht, 2023-05-31, DE</w:t>
      </w:r>
    </w:p>
    <w:p>
      <w:r>
        <w:rPr>
          <w:b/>
        </w:rPr>
        <w:t xml:space="preserve">Quelle: </w:t>
      </w:r>
      <w:r>
        <w:t>https://mcp.opencaselaw.ch/entscheid/bvger_E-3055_2023</w:t>
      </w:r>
    </w:p>
    <w:p>
      <w:r>
        <w:t>FR: TAF E-3055/2023 du 31 mai 2023</w:t>
      </w:r>
    </w:p>
    <w:p>
      <w:r>
        <w:t>IT: TAF E-3055/2023 del 31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w:t>
      </w:r>
    </w:p>
    <w:p>
      <w:r>
        <w:t>E-3055/2023 Seite 4</w:t>
      </w:r>
    </w:p>
    <w:p>
      <w:r>
        <w:rPr>
          <w:b/>
        </w:rPr>
        <w:t>E. 1.2</w:t>
      </w:r>
    </w:p>
    <w:p>
      <w:r>
        <w:t>Die Fragen der Anerkennung der Flüchtlingseigenschaft, der Gewäh- rung von Asyl sowie der Anordnung einer vorläufigen Aufnahme bilden nicht Gegenstand des angefochtenen Nichteintretensentscheids und damit auch nicht des vorliegenden Verfahrens; auf die entsprechenden Begehren ist nicht einzutreten, und es erübrigen sich insofern auch inhaltliche Aus- führungen zu den beiden türkischsprachigen Beschwerdebeilagen, mit de- nen eine Gefährdung im Heimatstaat dargetan werden soll. Aus der Be- gründung des Rechtsmittels der Beschwerdeführenden geht – trotz an- derslautender Rechtsbegehren in der standardmässig vorgedruckten Formularbeschwerde – letztlich aber eindeutig hervor, dass sich die Laien- beschwerde gegen das Nichteintreten auf ihr Asylgesuch und ihre Über- stellung nach Kroatien richtet und die Beschwerdeführenden die materielle Behandlung ihrer Asylgesuche in der Schweiz beantragen.</w:t>
      </w:r>
    </w:p>
    <w:p>
      <w:r>
        <w:rPr>
          <w:b/>
        </w:rPr>
        <w:t>E. 1.3</w:t>
      </w:r>
    </w:p>
    <w:p>
      <w:r>
        <w:t>Auf die frist- und nach dem Gesagten auch formgerecht eingereichte Beschwerde ist im Übrigen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einen Schriften- wechsel verzichtet.</w:t>
      </w:r>
    </w:p>
    <w:p>
      <w:r>
        <w:t>E-3055/2023 Seite 5</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 hier interessierenden – Wiederaufnahmeverfahrens (Art. 23–25 Dublin- 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 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 der Weiterreise eines Antragstellers in einen anderen Mitgliedstaat bei noch nicht abgeschlossenem Zuständigkeitsverfahren Anwendung (vgl. CHRISTIAN FILZWIESER / ANDREA SPRUNG, Dublin-III-Verordnung, Das europäische Asylzuständigkeitssystem, 2014, K. 19 zu Art. 20).</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w:t>
      </w:r>
    </w:p>
    <w:p>
      <w:r>
        <w:t>E-3055/2023 Seite 6 anderer Mitgliedstaat als zuständig bestimmt werden kann. Kann kein an- derer Mitgliedstaat als zuständig bestimmt werden, wird der die Zuständig- 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Der Abgleich der Fingerabdrücke der Beschwerdeführenden ergab, dass sie am 16. März 2023 in Kroatien Asylgesuche eingereicht hatten. Durch den Abgleich der Fingerabdrücke mit der Zentraleinheit Eurodac steht fest, dass sie in Kroatien als asylsuchende Personen registriert wur- den.</w:t>
      </w:r>
    </w:p>
    <w:p>
      <w:r>
        <w:rPr>
          <w:b/>
        </w:rPr>
        <w:t>E. 4.2</w:t>
      </w:r>
    </w:p>
    <w:p>
      <w:r>
        <w:t>Die kroatischen Behörden stimmten den Wiederaufnahmeersuchen des SEM vom 3. April 2023 gestützt auf Art. 20 Abs. 5 Dublin-III-VO zu. Vor diesem Hintergrund ist die grundsätzliche Zuständigkeit Kroatiens zur Durchführung des Asyl- und Wegweisungsverfahrens gegeben. Daran ver- mögen auch die Einwände der Beschwerdeführenden, wonach ihre Finger- abdrücke unter Zwang abgenommen worden seien, nichts zu ändern.</w:t>
      </w:r>
    </w:p>
    <w:p>
      <w:r>
        <w:rPr>
          <w:b/>
        </w:rPr>
        <w:t>E. 5</w:t>
      </w:r>
    </w:p>
    <w:p>
      <w:r>
        <w:t>Die Beschwerdeführenden bringen in ihrem Rechtsmittel inhaltlich im We- sentlichen vor, das kroatische Asylsystem weise systemische Mängel auf und sie seien bei ihrem Aufenthalt dort schlecht behandelt worden. Zudem sei der Zugang zu medizinischer und insbesondere psychologischer Hilfe, auf die der Beschwerdeführer angewiesen sei, in Kroatien nicht sicher- gestellt. Schliesslich hätten sie in der Schweiz Familienangehörige, die sie bei der Integration unterstützen würden.</w:t>
      </w:r>
    </w:p>
    <w:p>
      <w:r>
        <w:t>E-3055/2023 Seite 7</w:t>
      </w:r>
    </w:p>
    <w:p>
      <w:r>
        <w:rPr>
          <w:b/>
        </w:rPr>
        <w:t>E. 6.1</w:t>
      </w:r>
    </w:p>
    <w:p>
      <w:r>
        <w:t>Gemäss Rechtsprechung des Bundesverwaltungsgerichts liegen zum heutigen Zeitpunkt keine konkreten Gründe für die Annahme vor, das Asyl- 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Auch in Würdigung der pauschalen und nicht nä- her konkretisierten Aussagen der Beschwerdeführenden zu ihrer Behand- lung und ihren Beobachtungen während ihres (eintägigen) Aufenthalts in Kroatien ist nicht davon auszugehen, sie gerieten nach ihrer Überstellung in dieses Land in eine Situation extremer Not im Sinne von Art. 4 GRC.</w:t>
      </w:r>
    </w:p>
    <w:p>
      <w:r>
        <w:rPr>
          <w:b/>
        </w:rPr>
        <w:t>E. 6.2</w:t>
      </w:r>
    </w:p>
    <w:p>
      <w:r>
        <w:t>Folglich ist die Anwendung von Art. 3 Abs. 2 Dublin-III-VO nicht ge- rechtfertigt.</w:t>
      </w:r>
    </w:p>
    <w:p>
      <w:r>
        <w:rPr>
          <w:b/>
        </w:rPr>
        <w:t>E. 7.1</w:t>
      </w:r>
    </w:p>
    <w:p>
      <w:r>
        <w:t>Demnach bleibt zu prüfen, ob die Schweiz das Selbsteintrittsrecht nach Art. 17 Abs. 1 Satz 1 Dublin-III-VO auszuüben hat.</w:t>
      </w:r>
    </w:p>
    <w:p>
      <w:r>
        <w:rPr>
          <w:b/>
        </w:rPr>
        <w:t>E. 7.2</w:t>
      </w:r>
    </w:p>
    <w:p>
      <w:r>
        <w:t>Die Beschwerdeführenden haben kein konkretes und ernsthaftes Risiko dargetan, die kroatischen Behörden würden sich weigern, sie wiederaufzunehmen und ihren Antrag auf internationalen Schutz unter Ein- haltung der Regeln der Verfahrensrichtlinie zu prüfen. Den Akten sind denn auch keine Gründe für die Annahme zu entnehmen, Kroatien werde in ih- rem Fall den Grundsatz des Non-Refoulement missachten und sie zur Aus- reise in ein Land zwingen, in dem Leib, Leben oder ihre Freiheit aus einem Grund nach Art. 3 Abs. 1 AsylG gefährdet ist oder in dem sie Gefahr laufen würden, zur Ausreise in ein solches Land gezwungen zu werden. Ausser- dem haben die Beschwerdeführenden nicht dargetan, die sie bei einer Rückführung erwartenden Bedingungen in Kroatien seien derart schlecht, dass sie zu einer Verletzung von Art. 4 GRC, Art. 3 EMRK oder Art. 3 FoK führen könnten. Die Beschwerdeführenden vermochten keine individuellen Umstände geltend zu machen, gestützt auf welche sich die Annahme recht- fertigen würde, Kroatien würde ihnen dauerhaft die ihnen gemäss Aufnah- merichtlinie zustehenden minimalen Lebensbedingungen – insbesondere auch hinsichtlich der Entwicklung ihrer Tochter (vgl. Beschwerde S. 3) – vorenthalten. Bei einer allfälligen vorübergehenden Einschränkung könn- ten sie sich nötigenfalls an die dortigen Behörden wenden und die ihnen zustehenden Aufnahmebedingungen auf dem Rechtsweg einfordern (vgl.</w:t>
      </w:r>
    </w:p>
    <w:p>
      <w:r>
        <w:t>E-3055/2023 Seite 8 Art. 26 Aufnahmerichtlinie); aus den Akten geht im Übrigen nicht hervor, dass sich die Beschwerdeführenden während ihres kurzen Aufenthalts in Kroatien erfolglos um entsprechende Unterstützung bemüht hätten.</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Europäischen Gerichtshofs für Menschenrechte Paposhvili gegen Belgien 13. Dezember 2016, Grosse Kammer 41738/10, §§ 180–193 m.w.H.).</w:t>
      </w:r>
    </w:p>
    <w:p>
      <w:r>
        <w:rPr>
          <w:b/>
        </w:rPr>
        <w:t>E. 7.3.2</w:t>
      </w:r>
    </w:p>
    <w:p>
      <w:r>
        <w:t>Den Akten zufolge leidet der Beschwerdeführer an einer bipolaren Störung, die er bereits in der Türkei medikamentös behandelt hatte (vgl. Dublin-Gespräch [act. A22/3] S. 2). Er erhielt in der Schweiz die gleichen Medikamente verschrieben, wobei leichte Anpassungen in der Dosierung vorgenommen worden zu sein scheinen (vgl. act. A33/2, A37/4 und A38/1). Hinweise auf eine anhaltende ärztliche respektive psychologische Betreu- ung ergeben sich aus den Akten nicht. Die Beschwerdeführerin und ihr Kind begaben sich seit ihrer Ankunft in der Schweiz zwar ebenfalls mehr- fach in ärztliche Betreuung (vgl. act. A36/4, A40/1 und A41/1); anhaltende, gravierende gesundheitliche Probleme wurden anlässlich dieser Untersu- chungen aber nicht festgestellt.</w:t>
      </w:r>
    </w:p>
    <w:p>
      <w:r>
        <w:rPr>
          <w:b/>
        </w:rPr>
        <w:t>E. 7.3.3</w:t>
      </w:r>
    </w:p>
    <w:p>
      <w:r>
        <w:t>Die geltend gemachten gesundheitlichen Beschwerden sind nicht derart schwerwiegend, als davon ausgegangen werden müsste, sie könn- ten nicht auch in Kroatien adäquat behandelt werden. Sollten sich medizi- nische Abklärungen, medikamentöse oder therapeutische Behandlungen als notwendig erweisen, steht in Kroatien – entgegen der Behauptung auf Beschwerdeebene (vgl. Beschwerde S. 2 f.) – grundsätzlich eine durchaus ausreichende medizinische Infrastruktur zur Verfügung. Nebst den staatli- chen Einrichtungen bieten auch Nichtregierungsorganisationen Hilfestel- lung bei der psychologischen Betreuung von Asylsuchenden an. Es ist von einem genügenden Behandlungsangebot auszugehen (vgl. Urteile BVGer E-1092/2023 E. 6.3.3., D-5890/2022 E. 9.3, E-4341/2022 vom 8. Dezem- ber 2022 E. 7.3.3, F-5023/2022 vom 23. November 2022 E. 6.4.3 und F-4542/2022 vom 11. November 2022 E. 7.5, je m.w.H.).</w:t>
      </w:r>
    </w:p>
    <w:p>
      <w:r>
        <w:rPr>
          <w:b/>
        </w:rPr>
        <w:t>E. 7.4</w:t>
      </w:r>
    </w:p>
    <w:p>
      <w:r>
        <w:t>Nach dem Gesagten konnten die Beschwerdeführenden kein konkre- tes und ernsthaftes Risiko dartun, wonach ihre Überstellung nach Kroatien die Verletzung völkerrechtlicher Bestimmungen zur Folge hätte.</w:t>
      </w:r>
    </w:p>
    <w:p>
      <w:r>
        <w:t>E-3055/2023 Seite 9</w:t>
      </w:r>
    </w:p>
    <w:p>
      <w:r>
        <w:rPr>
          <w:b/>
        </w:rPr>
        <w:t>E. 7.5.1</w:t>
      </w:r>
    </w:p>
    <w:p>
      <w:r>
        <w:t>Das SEM verfügt gemäss Praxis des Bundesverwaltungsgerichts bei der Anwendung der Kann-Bestimmung von Art. 29a Abs. 3 AsylV 1 über einen Ermessensspielraum (vgl. BVGE 2015/9 E. 7 f.). Das Gericht be- schränkt sich bei der Beurteilung eines vorinstanzlichen Verzichts der An- wendung von Art. 29a Abs. 3 AsylV 1 im Wesentlichen darauf, ob das SEM den Sachverhalt diesbezüglich korrekt und vollständig erhoben, allen we- sentlichen Umständen Rechnung getragen und seinen Ermessensspiel- raum genutzt hat (vgl. Art. 106 Abs. 1 Bst. a und b AsylG).</w:t>
      </w:r>
    </w:p>
    <w:p>
      <w:r>
        <w:rPr>
          <w:b/>
        </w:rPr>
        <w:t>E. 7.5.2</w:t>
      </w:r>
    </w:p>
    <w:p>
      <w:r>
        <w:t>Die angefochtene Verfügung ist unter diesem Blickwinkel nicht zu be- anstanden. Der Sachverhalt ist hinreichend erstellt, und den Akten sind keine Hinweise auf einen Ermessensmissbrauch oder ein Über- respektive Unterschreiten des Ermessens zu entnehmen.</w:t>
      </w:r>
    </w:p>
    <w:p>
      <w:r>
        <w:rPr>
          <w:b/>
        </w:rPr>
        <w:t>E. 7.5.3</w:t>
      </w:r>
    </w:p>
    <w:p>
      <w:r>
        <w:t>Schliesslich können die Beschwerdeführenden auch aus der Anwe- senheit mehrerer Familienangehöriger (Tante, Cousins, erwachsene Ge- schwister) in der Schweiz nichts zu ihren Gunsten ableiten, zumal diese nicht als Familienangehörige im Sinne von Art. 2 Bst. g Dublin-III-VO gelten. Im Übrigen wäre aus den Akten kein besonderes Abhängigkeits- verhältnis ersichtlich, welches einer Überstellung nach Kroatien entgegen- stehen würde.</w:t>
      </w:r>
    </w:p>
    <w:p>
      <w:r>
        <w:rPr>
          <w:b/>
        </w:rPr>
        <w:t>E. 7.5.4</w:t>
      </w:r>
    </w:p>
    <w:p>
      <w:r>
        <w:t>Das Gericht enthält sich unter diesen Umständen weiterer Äusserun- gen zur Frage eines Selbsteintritts aus humanitären Gründen.</w:t>
      </w:r>
    </w:p>
    <w:p>
      <w:r>
        <w:rPr>
          <w:b/>
        </w:rPr>
        <w:t>E. 7.6</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w:t>
      </w:r>
    </w:p>
    <w:p>
      <w:r>
        <w:t>Die Vorinstanz ist angesichts der vorstehenden Erwägungen zu Recht nicht auf das Asylgesuch der Beschwerdeführenden eingetreten und hat ihre Überstellung nach Kroatien verfügt (vgl. Art. 31a Abs. 1 Bst. b und Art. 44 AsylG). Die Beschwerde ist abzuweisen, soweit darauf einzutreten ist.</w:t>
      </w:r>
    </w:p>
    <w:p>
      <w:r>
        <w:t>E-3055/2023 Seite 10</w:t>
      </w:r>
    </w:p>
    <w:p>
      <w:r>
        <w:rPr>
          <w:b/>
        </w:rPr>
        <w:t>E. 9.1</w:t>
      </w:r>
    </w:p>
    <w:p>
      <w:r>
        <w:t>Mit vorliegendem Urteil ist das Beschwerdeverfahren abgeschlossen. Die Anträge auf Erteilung der aufschiebenden Wirkung und Befreiung von der Kostenvorschusspflicht erweisen sich als gegenstandslos. Der am 30. Mai 2023 angeordnete provisorische Vollzugsstopp fällt dahin.</w:t>
      </w:r>
    </w:p>
    <w:p>
      <w:r>
        <w:rPr>
          <w:b/>
        </w:rPr>
        <w:t>E. 9.2</w:t>
      </w:r>
    </w:p>
    <w:p>
      <w:r>
        <w:t>Die mit der Beschwerde gestellten Gesuche um Gewährung der un- entgeltlichen Prozessführung und amtlichen Rechtsverbeiständung sind unbesehen der finanziellen Verhältnisse der Beschwerdeführenden abzu- weisen, da die Begehren gemäss den vorstehenden Erwägungen als aussichtslos zu bezeichnen waren und es daher an einer gesetzlichen Voraussetzung zu deren Gewährung fehlt.</w:t>
      </w:r>
    </w:p>
    <w:p>
      <w:r>
        <w:rPr>
          <w:b/>
        </w:rPr>
        <w:t>E. 9.3</w:t>
      </w:r>
    </w:p>
    <w:p>
      <w:r>
        <w:t>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E-3055/2023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