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E-3055/2014 vom 16. September 2014</w:t>
      </w:r>
    </w:p>
    <w:p>
      <w:r>
        <w:t>Bundesverwaltungsgericht, 2014-09-16, DE</w:t>
      </w:r>
    </w:p>
    <w:p>
      <w:r>
        <w:rPr>
          <w:b/>
        </w:rPr>
        <w:t xml:space="preserve">Quelle: </w:t>
      </w:r>
      <w:r>
        <w:t>https://mcp.opencaselaw.ch/entscheid/bvger_E-3055_2014</w:t>
      </w:r>
    </w:p>
    <w:p>
      <w:r>
        <w:t>FR: TAF E-3055/2014 du 16 septembre 2014</w:t>
      </w:r>
    </w:p>
    <w:p>
      <w:r>
        <w:t>IT: TAF E-3055/2014 del 16 settembre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 bis auf den sprachlichen Aspekt (vgl. E. 1.3) -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 12, 19, 20, 41 Abs. 2, 52 und 68 AsylG sowie Art. 10 der Asylverordnung 1 vom 11. August 1999 über Verfahrensfragen (AsylV 1, SR 142.311)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AsylV 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4.3</w:t>
      </w:r>
    </w:p>
    <w:p>
      <w:r>
        <w:t>Vorliegend sah sich die Botschaft in Khartum nicht in der Lage, eine persönliche Befragung des Beschwerdeführers durchzuführen. Das BFM begründete diesen Verzicht im Schreiben vom 9. Juli 2013 mit dem begrenzten Personalbestand der Botschaft sowie den fehlenden Voraussetzungen im sicherheitstechnischen und räumlichen Bereich. Das Bundesamt ersuchte den Beschwerdeführer deshalb um Einreichung einer ergänzenden Stellungnahme zwecks Vervollständigung des rechtserheblichen Sachverhaltes. Der Beschwerdeführer nahm in der Folge mit Eingabe vom 5. September 2013 ausführlich zu den gestellten Fragen Stellung und machte persönliche, auf ihn konkret bezogene Angaben. Vorliegend erhielt er somit rechtsgenügend Gelegenheit, seine Asylgründe darzulegen und bei der Erhebung und Ergänzung des massgebenden Sachverhalts mitzuwirken. Die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aArt. 52 Abs. 2 AsylG). Nach aArt. 20 Abs. 2 AsylG bewilligt das Bundesamt einer asylsuchenden Person die Einreise in die Schweiz zur Abklärung des Sachverhaltes, wenn ihr nicht zugemutet werden kann, im Wohnsitz- oder Aufenthaltsstaat zu bleiben oder in ein anderes Land auszureisen (vgl. BVGE 2007/19 E. 3.2;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2004 Nr. 20 E. 3.b), mithin die Prüfung der Fragen, ob eine Gefährdung im Sinne von Art. 3 AsylG glaubhaft gemacht wird und ob der Verbleib am Aufenthaltsort für die Dauer der Sachverhaltsabklärung zugemutet werden kann (vgl. BVGE 2011/10 E. 3.3).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wie auch auf die Zumutbarkeit der Inanspruchnahme des Schutzes im Drittstaat als unzutreffend erweisen. Es ist deshalb zu prüfen, ob die asylsuchende Person im Drittstaat Schutz vor Verfolgung gefunden hat oder erlangen kann, was in der Regel zur Verweigerung der Einreisebewilligung und zur Ablehnung des Asylgesuchs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in Übereinstimmung mit dem BFM zum Schluss, dass die geltend gemachten Vorbringen des Beschwerdeführers bezüglich der geschilderten Ereignisse in seinem Heimatland grundsätzlich nicht unglaubhaft erscheinen. Ob er bei einer allfälligen Rückkehr nach Äthiopien einer flüchtlingsrechtlich relevanten Gefährdung ausgesetzt sein könnte, kann vorliegend jedoch offengelassen werden, da er den (zusätzlichen) Schutz der Schweiz gemäss aArt. 52 Abs. 2 AsylG nicht benötigt, weil es ihm - wie im Nachfolgenden aufzuzeigen sein wird - trotz der zugestandenermassen nicht einfachen Bedingungen für äthiopische Flüchtlinge im Sudan zumutbar ist, im Zufluchtsland zu verbleiben.</w:t>
      </w:r>
    </w:p>
    <w:p>
      <w:r>
        <w:rPr>
          <w:b/>
        </w:rPr>
        <w:t>E. 6.2</w:t>
      </w:r>
    </w:p>
    <w:p>
      <w:r>
        <w:t>Der Sudan verfolgt eine sogenannte "encampment policy", wonach Asylsuchende und Flüchtlinge gehalten sind, sich in einem Flüchtlingslager aufzuhalten. Die sudanesischen Behörden beschränken die Bewegungsfreiheit der Flüchtlinge durch diese "encampment policy" und durch die gesetzlich vorgesehene Bestrafung von Flüchtlingen, welche die Flüchtlingslager verlassen. Trotz dieser Einschränkung leben - gemäss Schätzungen des UNHCR vom November 2010 - rund 40'000 Flüchtlinge in Khartum. Die sudanesischen Behörden haben bisher keine einheitliche Praxis entwickelt, wie sie mit diesen städtischen Flüchtlingen umgehen. Das UNHCR rechnete für das Jahr 2013 im Sudan mit 5'000 Flüchtlingen und 3'300 Asylsuchenden aus Äthiopien (zum Vergleich: UNHCR rechnete mit 115'000 Flüchtlingen und 2'600 Asylsuchenden aus Eritrea; vgl. zum Ganzen ausführlich Urteil des Bundesverwaltungsgerichts E-3273/2013 vom 22. Juli 2013 E. 7.2, m.w.H.).</w:t>
      </w:r>
    </w:p>
    <w:p>
      <w:r>
        <w:rPr>
          <w:b/>
        </w:rPr>
        <w:t>E. 6.3</w:t>
      </w:r>
    </w:p>
    <w:p>
      <w:r>
        <w:t>Bezüglich der Gefahr und der vom Beschwerdeführer geltend gemachten Befürchtung einer allfälligen Deportation nach Äthiopien ist festzustellen, dass zwar in der Tat verschiedentlich Berichte von Deportationen äthiopischer Flüchtlinge bekannt geworden sind und es angesichts der guten Beziehungen zwischen dem Sudan und Äthiopien nicht generell ausgeschlossen werden kann, dass Deportationen von Äthiopiern in ihr Heimatland stattfinden (vgl. auch hierzu Urteil des Bundesverwaltungsgerichts E 3273/2013 vom 22. Juli 2013 E. 7.3, m.w.H.). Indessen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Diese Festnahmen erfolgen jedoch, nachdem sich diese Flüchtlinge gemäss sudanesischem Gesetz in den Flüchtlingslagern aufzuhalten haben und sich ihr dortiges Aufenthaltsrecht nicht aufs ganze Land, namentlich nicht auf den Grossraum Khartum, erstreckt.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(vgl. Urteil des Bundesverwaltungsgerichts E 3273/2013, a.a.O.). Es liegen nach dem Gesagten keine Informationen vor, aufgrund welcher anzunehmen wäre, dass die sudanesischen Behörden in der jüngeren Vergangenheit flächendeckende oder systematische Deportationen von äthiopischen Flüchtlingen aus den Flüchtlingslagern nach Äthiopien vorgenommen hätten oder solche konkret für die Zukunft in Betracht ziehen würden. Anhaltspunkte dafür, dass der Beschwerdeführer in Khartum ernsthaft eine Deportation zu befürchten hätte, indem er etwa infolge qualifizierter regimekritischer Tätigkeiten ein erhöhtes Risikoprofil aufweisen würde, lassen sich den Akten jedenfalls nicht entnehmen. Auch spricht sein langjähriger Aufenthalt im Sudan gegen die akute Gefahr einer Deportation. Der Beschwerdeführer befindet sich eigenen Angaben zufolge seit April 1993 im Sudan und ist vom UNHCR als Flüchtling erfasst worden (vgl. eingereichte Kopie seines UNHCR-Flüchtlingsausweises). Das BFM führte in seiner Verfügung zu Recht aus, dass er nicht glaubhaft habe darlegen können, persönlich faktisch und unmittelbar bedroht zu sein, unter Verletzung des Non-Refoulement-Prinzips nach Äthiopien zurückgeschafft zu werden. Auf Beschwerdeebene wird neu geltend gemacht, seitens unbekannter äthiopischer Sicherheitsleute aus der äthiopischen Botschaft in Khartum seien er und andere führende Mitglieder einer kirchlichen Gemeinschaft im Dezember 2013 ohne Angabe von Gründen schriftlich aufgefordert worden, sich dort zu melden. Sie hätten dies als Kirchenmitglieder und auch in eigenem Namen der Polizei angezeigt, die sich jedoch geweigert habe, die Klagen entgegenzunehmen, dies aufgrund des Abkommens zwischen der äthiopischen und sudanesischen Regierung. Schliesslich habe er die Angelegenheit bei den zuständigen Behörden als auch beim UNHCR gemeldet, wobei die Klagen jedoch wirkungslos geblieben seien und ihm keine Lösung angeboten worden sei. Diese neuen Vorbringen wirken plakativ und sind unsubstanziiert. Der Beschwerdeführer hat hierzu weder Unterlagen bezüglich der Klageerhebung bei den zuständigen Behörden noch eine entsprechende Bestätigung des UNHCR beigebracht, was ihm im Rahmen der zumutbaren Mitwirkungspflicht ohne Weiteres hätte möglich sein müssen. Auch wäre eine angemessene Unterstützung zumindest seitens des UNHCR zu erwarten. Demnach erscheinen die geltend gemachten Nachstellungen, wonach er nun ständigen Drohanrufen und Aufforderungen durch unbekannte äthiopische Sicherheitsleute, die äthiopische Botschaft zu kontaktieren, ausgesetzt und gezwungen sei, seinen Aufenthaltsort in Khartum ständig zu wechseln, als nachgeschobene Steigerung des Sachverhaltes und in diesem Sinne als Anpassung an die Erwägungen in der vorinstanzlichen Verfügung. Zudem ist anzumerken, dass es zumindest zweifelhaft anmutet, dass der Beschwerdeführer den angeblichen Nachstellungen äthiopischer Sicherheitsleute derart leicht hätte entgehen können. Ein nachvollziehbares ernsthaftes Interesse der äthiopischen Behörden gegenüber dem Beschwerdeführer ist denn auch in Berücksichtigung seines politisch unterschwelligen Profils nicht glaubhaft. Eine relevante Gefährdung des Beschwerdeführers im Sudan ist demnach in Berücksichtigung der massgebenden Umstände nicht anzunehmen. Eine flüchtlingsrechtlich begründete Grundlage für eine Bewilligung der Einreise in die Schweiz oder die Gewährung von Asyl ist vorliegend nicht gegeben.</w:t>
      </w:r>
    </w:p>
    <w:p>
      <w:r>
        <w:rPr>
          <w:b/>
        </w:rPr>
        <w:t>E. 6.4</w:t>
      </w:r>
    </w:p>
    <w:p>
      <w:r>
        <w:t>Obgleich der Beschwerdeführer Schwierigkeiten bei der Arbeitssuche geltend macht, ist es ihm offenbar bisher gelungen, ein Auskommen zu finden. Damit ist davon auszugehen, dass er über die nötigen finanziellen Mittel zur Deckung des Existenzbedarfs für sich und seine Familie (Ehefrau und zwei Kinder) verfügt. Insgesamt ist nicht davon auszugehen, dass sich der Beschwerdeführer in einer existenziellen Notlage befindet beziehungsweise der weitere Aufenthalt im Sudan mit überwiegender Wahrscheinlichkeit zu einer solchen führen wird. Sollten diese Mittel dennoch nicht genügen, könnten er und seine Familie einer allfälligen Versorgungsnotlage dadurch entgehen, dass er sich erneut an das UNHCR wendet und sich einem Flüchtlingslager zuteilen lassen würde. Auch wenn anerkanntermassen die Situation in den Lagern teils prekär ist, kann dennoch davon ausgegangen werden, dass zumindest die Grundversorgung dort gewährleistet ist. Bezüglich einer allfälligen Befürchtung, ein Aufenthalt in den Flüchtlingscamps sei nicht sicher bzw. Opfer einer Verschleppung zu werden, ist schliesslich festzuhalten, dass zwar verschiedene Fälle von Flüchtlingen, die von Entführungen aus sudanesischen Flüchtlingslagern betroffen sind, dokumentiert sind; dabei ist jedoch jeweils die Rede von Eritreern, nicht von Äthiopiern (vgl. Schweizerische Flüchtlingshilfe [SFH], Eritrea: Entführungen, Erpressungen, Organhandel, 5. Juli 2012; UNHCR, Refugees and the Rashaida: Human smuggling and trafficking from Eritrea to Sudan and Egypt, März 2013; Reuters Alertnet, Traffickers attacking Eritrean refugees in Sudan - rights groups, 31. Januar 2013).</w:t>
      </w:r>
    </w:p>
    <w:p>
      <w:r>
        <w:rPr>
          <w:b/>
        </w:rPr>
        <w:t>E. 6.5</w:t>
      </w:r>
    </w:p>
    <w:p>
      <w:r>
        <w:t>Sodann ist angesichts des über 21-jährigen Aufenthaltes des Beschwerdeführers im Sudan auf eine relativ grosse Beziehungsnähe zu diesem Drittstaat zu schliessen und anzunehmen, dass er dort weitestgehend integriert ist. Demgegenüber weist er den Akten zufolge zur Schweiz keine enge Bindung auf.</w:t>
      </w:r>
    </w:p>
    <w:p>
      <w:r>
        <w:rPr>
          <w:b/>
        </w:rPr>
        <w:t>E. 6.6</w:t>
      </w:r>
    </w:p>
    <w:p>
      <w:r>
        <w:t>Zusammenfassend ist festzuhalten, dass der Beschwerdeführer keine hinreichenden Gründe darzutun vermag, aus welchen die Zumutbarkeit seines weiteren Aufenthalts im Sudan zu verneinen wäre. Demnach benötigt er den subsidiären Schutz der Schweiz gemäss aArt. 52 Abs. 2 AsylG nicht und der weitere Verbleib im Sudan ist ihm zumutbar. Das BFM hat demnach dem Beschwerdeführer zu Recht die Einreise in die Schweiz nicht bewilligt beziehungsweise sein Asylgesuch abgelehnt.</w:t>
      </w:r>
    </w:p>
    <w:p>
      <w:r>
        <w:rPr>
          <w:b/>
        </w:rPr>
        <w:t>E. 7</w:t>
      </w:r>
    </w:p>
    <w:p>
      <w:r>
        <w:t>Aus diesen Erwägungen ergibt sich, dass die angefochtene Verfügung Bundesrecht nicht verletzt sowie den rechtserheblichen Sachverhalt richtig und vollständig feststellt (Art. 106 Abs. 1 AsylG). Die Beschwerde ist folglich abzuweisen.</w:t>
      </w:r>
    </w:p>
    <w:p>
      <w:r>
        <w:rPr>
          <w:b/>
        </w:rPr>
        <w:t>E. 8</w:t>
      </w:r>
    </w:p>
    <w:p>
      <w:r>
        <w:t>Bei diesem Ausgang des Verfahrens wären die Kosten von Fr. 600.- grundsätzlich dem Beschwerdeführer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