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E-304/2017 vom 6. März 2017</w:t>
      </w:r>
    </w:p>
    <w:p>
      <w:r>
        <w:t>Bundesverwaltungsgericht, 2017-03-06, DE</w:t>
      </w:r>
    </w:p>
    <w:p>
      <w:r>
        <w:rPr>
          <w:b/>
        </w:rPr>
        <w:t xml:space="preserve">Quelle: </w:t>
      </w:r>
      <w:r>
        <w:t>https://mcp.opencaselaw.ch/entscheid/bvger_E-304_2017</w:t>
      </w:r>
    </w:p>
    <w:p>
      <w:r>
        <w:t>FR: TAF E-304/2017 du 6 mars 2017</w:t>
      </w:r>
    </w:p>
    <w:p>
      <w:r>
        <w:t>IT: TAF E-304/2017 del 6 marzo 2017</w:t>
      </w:r>
    </w:p>
    <w:p>
      <w:pPr>
        <w:pStyle w:val="Heading2"/>
      </w:pPr>
      <w:r>
        <w:t>Regeste</w:t>
      </w:r>
    </w:p>
    <w:p>
      <w:r>
        <w:t>Asyl (ohne Wegweisungsvollzug)</w:t>
      </w:r>
    </w:p>
    <w:p>
      <w:pPr>
        <w:pStyle w:val="Heading2"/>
      </w:pPr>
      <w:r>
        <w:t>Erwägungen</w:t>
      </w:r>
    </w:p>
    <w:p>
      <w:r>
        <w:rPr>
          <w:b/>
        </w:rPr>
        <w:t>E. 1.1</w:t>
      </w:r>
    </w:p>
    <w:p>
      <w:r>
        <w:t>Gemäss Art. 31 Bundesgesetz vom 17. Juni 2005 über das Bundesverwaltungsgericht (Verwaltungsgerichtsgesetz, VGG, SR 173.32) ist das Bundesverwaltungsgericht zur Beurteilung von Beschwerden gegen Verfügungen im Sinne von Art. 5 Bundesgesetz vom 20. Dezember 1968 über das Verwaltungsverfahren (Verwaltungsverfahrensgesetz, VwVG, SR 172.021) zuständig und entscheidet über die vorliegende Beschwerde endgültig (Art. 83 Bst. d Ziff. 1 BGG; Art. 105 AsylG [SR 142.31])). Das Rechtsbegehren, die Verfügung vom 14. Dezember 2016 sei aufzuheben, beinhaltet auch die Aufhebung der zu ihren Gunsten ausfallenden Ziffern 4 und 5 der angefochtenen Verfügung. Da es der Beschwerdeführerin diesbezüglich an einem schutzwürdigen Interesse mangelt, ist auf die Beschwerde insoweit nicht einzutreten. Im Übrigen ist auf die Beschwerde einzutreten. Die Beschwerdeführerin ist als Verfügungsadressatin zur Beschwerdeführung legitimiert (Art. 48 VwVG) und die Beschwerde wurde frist- und formgerecht eingereicht (Art. 108 Abs. 1 AsylG und Art. 52 Abs. 1 VwVG).</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3.1</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3.2</w:t>
      </w:r>
    </w:p>
    <w:p>
      <w:r>
        <w:t>Da der Beschwerdeführerin die unentgeltliche Rechtspflege (Art. 65 Abs. 1 VwVG) gewährt wird (vgl. unten, E. 7), die Beschwerde also als nicht aussichtslos zu qualifizieren ist,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4.5</w:t>
      </w:r>
    </w:p>
    <w:p>
      <w:r>
        <w:t>Die Vorinstanz begründet ihre Verfügung damit, die blosse Befürchtung, in unbestimmter Zukunft festgenommen oder inhaftiert zu werden, sei nicht asylrelevant. Die Beschwerdeführerin habe zu keinem Zeitpunkt mit den eritreischen Behörden im Kontakt gestanden oder sei sonst wie von ihnen belangt worden. Überdies habe sie durch ihre illegale Ausreise nicht gegen die Proclamation on National Service von 1995 verstossen. Gemäss aktuellen Erkenntnissen sei die Behandlung von Rückkehrern hauptsächlich davon abhängig, welchen Nationaldienst-Status sie vor ihrer Ausreise gehabt hätten. Zudem spiele es eine Rolle, ob die Rückkehr nach Eritrea freiwillig oder unter Zwang erfolge. Bei einer freiwilligen Rückkehr nach Eritrea würden die Rückkehrer, wenn sie gewisse Forderungen erfüllen, straffrei bleiben. Von Strafe befreit seien insbesondere Personen, die das dienstpflichtige Alter noch nicht erreicht hätten. Da die Beschwerdeführerin im Alter von 15 Jahren und somit als Minderjährige Eritrea illegal verlassen habe und auch sonst keine Hinweise dafür vorlägen, dass sie bei einer Rückkehr nach Eritrea mit ernsthaften Nachteilen zu rechnen hätte, erfülle sie somit die Flüchtlingseigenschaft nicht.</w:t>
      </w:r>
    </w:p>
    <w:p>
      <w:r>
        <w:rPr>
          <w:b/>
        </w:rPr>
        <w:t>E. 4.6</w:t>
      </w:r>
    </w:p>
    <w:p>
      <w:r>
        <w:t>Die Beschwerdeführerin bringt dagegen vor, sie sei mittlerweile im militärdienstpflichtigen Alter. Durch ihren Aufenthalt im Ausland habe sie die Rekrutierung verunmöglicht, weshalb sie bei einer Rückkehr als Dienstverweigerin gelte. Auch bei Bezahlung der Diasporasteuern und der Erklärung des Bedauerns bestehe das Risiko, deswegen verfolgt zu werden. Sie habe jederzeit mit schwersten Menschenrechtsverletzungen zu rechnen. Zudem sei die von der Vorinstanz vollzogene Praxisänderung, wonach die illegale Ausreise aus Eritrea asylrechtlich unbeachtlich sei, rechtlich nicht haltbar.</w:t>
      </w:r>
    </w:p>
    <w:p>
      <w:r>
        <w:rPr>
          <w:b/>
        </w:rPr>
        <w:t>E. 4.7</w:t>
      </w:r>
    </w:p>
    <w:p>
      <w:r>
        <w:t>Die Frage der Zulässigkeit der Praxisänderung der Vorinstanz bezüglich der flüchtlingsrechtlichen Beurteilung der illegalen Ausreise aus Eritrea ist vom Bundesverwaltungsgericht in einem Koordinationsverfahren mittlerweile geklärt worden. Nicht nur, aber auch für Minderjährige kommt das Gericht zum Schluss, dass allein aufgrund einer illegalen Ausreise keine begründete Furcht vor asylrechtlich beachtlicher Verfolgung angenommen werden kann (ausführlich dazu Urteil des BVGer D-7898/2015 vom 30. Januar 2017 E. 4.6-5.1 [vgl. oben, E. 4.2]). Bei der Beschwerdeführerin liegen zudem keine zusätzlichen Anknüpfungspunkte vor, welche zu einer Schärfung ihres Profils führen. Bis zu ihrer Ausreise hatte sie keinen Behördenkontakt, welcher mit einem allfälligen Einzug in den Nationaldienst hätte zusammenhängen können. Ihre diesbezüglich unsubstantiierte Aussage, Soldaten hätten sie am Abend ihrer Ausreise Zuhause gesucht, kann aufgrund ihrer damaligen Minderjährigkeit jedenfalls nicht im Zusammenhang mit einer Dienstpflicht gelesen werden (vgl. Akten der Vorinstanz A28/21, F115-117). Sie kann somit nicht als Deserteurin gelten. Die blosse Befürchtung, infolge ihrer geäusserten Ausreisepläne die Aufmerksamkeit der Militärbehörden auf sich gezogen zu haben, lässt sie in den Augen der eritreischen Behörden nicht als missliebige Person erscheinen. Andere Anknüpfungspunkte, die zu einer Schärfung ihres Profils führen könnten, sind nicht ersichtlich.</w:t>
      </w:r>
    </w:p>
    <w:p>
      <w:r>
        <w:rPr>
          <w:b/>
        </w:rPr>
        <w:t>E. 4.8</w:t>
      </w:r>
    </w:p>
    <w:p>
      <w:r>
        <w:t>Nachdem die Beschwerdeführerin neben der illegalen Ausreise keine zusätzlichen Anknüpfungspunkte für eine Verschärfung ihres Profils aufweist, ist vorliegend nicht von einer asylrechtlich beachtlichen Verfolgung auszugehen. Die Vorinstanz hat demnach zu Recht das Vorliegen einer begründeten Furcht vor ernsthaften Nachteilen im Sinne von Art. 3 AsylG verneint. Zur Vermeidung von Wiederholungen ist auf die zutreffenden vor-instanzlichen Ausführungen sowie das oben erwähnte Koordinationsurteil des Bundesverwaltungsgerichts zu verweisen (vgl. oben, E. 4.2). Die Vorinstanz hat daher zu Recht die Flüchtlingseigenschaft der Beschwerdeführerin verneint und ihr Asylgesuch abgewiesen.</w:t>
      </w:r>
    </w:p>
    <w:p>
      <w:r>
        <w:rPr>
          <w:b/>
        </w:rPr>
        <w:t>E. 5.1</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5.2</w:t>
      </w:r>
    </w:p>
    <w:p>
      <w:r>
        <w:t>Die Vorinstanz hat in der Verfügung vom 14. Dezember 2016 die vorläufige Aufnahme der Beschwerdeführerin in der Schweiz angeordnet, welche von dem vorliegenden Entscheid unberührt bleibt. Demnach erübrigen sich praxisgemäss Ausführungen zur Zulässigkeit, Zumutbarkeit und Möglichkeit des Wegweisungsvollzugs.</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7.1</w:t>
      </w:r>
    </w:p>
    <w:p>
      <w:r>
        <w:t>Beim vorliegenden Verfahren wären die Kosten der Beschwerdeführerin aufzuerlegen (Art. 63 Abs. 1 VwVG; Art. 1-3 des Reglements vom 21. Februar 2008 über die Kosten und Entschädigungen vor dem Bundesverwaltungsgericht [VGKE, SR 173.320.2]). Wie sich aus den vorstehenden Erwägungen ergibt, konnten ihre Rechtsbegehren im Beschwerdezeitpunkt jedoch nicht als aussichtslos betrachtet werden, weshalb das Gesuch um Gewährung der unentgeltlichen Rechtspflege (Art. 65 Abs. 1 VwVG) in Anbetracht der aus den Akten ersichtlichen prozessualen Bedürftigkeit gutzuheissen ist. Dementsprechend verzichtet das Gericht auf die Erhebung von Verfahrenskosten. Der Antrag, auf die Erhebung eines Kostenvorschusses sei zu verzichten, ist mit vorliegendem Entscheid gegenstandslos geworden ist.</w:t>
      </w:r>
    </w:p>
    <w:p>
      <w:r>
        <w:rPr>
          <w:b/>
        </w:rPr>
        <w:t>E. 7.2</w:t>
      </w:r>
    </w:p>
    <w:p>
      <w:r>
        <w:t>Demgemäss ist auch das Gesuch um Beiordnung eines amtlichen Rechtsbeistandes gutzuheissen. 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 Der Rechtsvertreter weist in der eingereichten Kostennote vom 16. Januar 2017 einen Aufwand für die Beschwerde von Fr. 810.- (4.5 Stunden à Fr. 180.-) und einen zusätzlichen Aufwand von Fr. 50.- (Spesenpauschale) aus. Insgesamt belaufen sich die Aufwendungen auf Fr. 924.80.-. Ausgehend von einem Stundenansatz von Fr. 150.- bemisst sich das Honorar auf Fr. 675.-. Der Zusatzaufwand von Fr. 50.- (nicht mehrwertsteuerpflichtig) erscheint angemessen. Dem Rechtsvertreter ist somit von der Gerichtskasse eine Entschädigung von insgesamt Fr. 779.-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