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E-3045/2018 vom 22. Januar 2020</w:t>
      </w:r>
    </w:p>
    <w:p>
      <w:r>
        <w:t>Bundesverwaltungsgericht, 2020-01-22, DE</w:t>
      </w:r>
    </w:p>
    <w:p>
      <w:r>
        <w:rPr>
          <w:b/>
        </w:rPr>
        <w:t xml:space="preserve">Quelle: </w:t>
      </w:r>
      <w:r>
        <w:t>https://mcp.opencaselaw.ch/entscheid/bvger_E-3045_2018</w:t>
      </w:r>
    </w:p>
    <w:p>
      <w:r>
        <w:t>FR: TAF E-3045/2018 du 22 janvier 2020</w:t>
      </w:r>
    </w:p>
    <w:p>
      <w:r>
        <w:t>IT: TAF E-3045/2018 del 22 gennaio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1.2</w:t>
      </w:r>
    </w:p>
    <w:p>
      <w:r>
        <w:t>Am 1. Januar 2019 wurde das Ausländergesetz vom 16. Dezember 2005 (AuG) teilrevidiert (AS 2018 3171; SR 142.20) und in Ausländer- und Integrationsgesetz (AIG) umbenannt. Der vorliegend anzuwendende Gesetzesartikel (Art. 83 Abs. 1-4) ist unverändert übernommen worden. Das Gericht verwendet nachfolgend die neue Gesetzesbezeichnung.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 in der angefochtenen Verfügung aus, die geltend gemachten Vorbringen des Beschwerdeführers seien nicht glaubhaft (Art. 7 AsylG). Sodann sei die dargelegte illegale Ausreise nicht asylrelevant (Art. 3 AsylG).</w:t>
      </w:r>
    </w:p>
    <w:p>
      <w:r>
        <w:rPr>
          <w:b/>
        </w:rPr>
        <w:t>E. 4.1.1</w:t>
      </w:r>
    </w:p>
    <w:p>
      <w:r>
        <w:t>Vorab sei darauf hinzuweisen, dass die Feststellung der Identität eines Gesuchstellers unabdingbar für die Abklärung von Asylvorbringen sei. Vorliegend habe der Beschwerdeführer keine Identitätspapiere eingereicht, welche seine Angaben bestätigen könnten, so dass seine Identität, die effektiven Reisedaten sowie die tatsächliche Reiseroute nicht feststünden.</w:t>
      </w:r>
    </w:p>
    <w:p>
      <w:r>
        <w:rPr>
          <w:b/>
        </w:rPr>
        <w:t>E. 4.1.2</w:t>
      </w:r>
    </w:p>
    <w:p>
      <w:r>
        <w:t>Sodann habe der Beschwerdeführer an der BzP erklärt, er habe eine schriftliche Vorladung für den Militärdienst erhalten und sei aufgefordert worden, sich am (...) 2012 in F._______ zu melden. Er habe sich nicht gemeldet und keinen Dienst geleistet (SEM-Akte A5 S. 4). An der Anhörung habe er aber angegeben, er habe nach dem Schulabbruch im Jahr 2010 fast täglich Aufgebote für den Militärdienst erhalten. Ebenfalls habe er dargelegt, drei Monate nach Schulabbruch im Jahr 2011 Vorladungen erhalten zu haben. Wiederum später an der Anhörung habe er erklärt, er sei im (...) 2010 zuhause gesucht worden und habe fliehen können (SEM-Akte A23 F52, 55-57, 163). Auch in Bezug auf die Zeit zwischen der Flucht aus D._______ und der Ausreise aus Eritrea habe er widersprüchliche Angaben gemacht. Zunächst habe er gesagt, er habe keinen Kontakt zu den Behörden gehabt, seinen Eltern sei jedoch mit Inhaftierung gedroht worden. Kurze Zeit später habe er angegeben, seine Eltern hätten Aufgebote für den Militärdienst für ihn entgegengenommen (SEM-Akte A23 F157-159). Sodann seien seine Schilderungen über die Bedrohungslage während dieser Zeit äusserst unsubstantiiert, pauschal, kurz und emotionslos ausgefallen. Er sei den Fragen ausgewichen und habe trotz Aufforderung erzählt, ohne eigene Erlebnisse preiszugeben (SEM-Akte A23 F159-169). Insgesamt erweckten die teils rudimentären und widersprüchlichen Angaben nicht den Eindruck, er habe von einschneidenden und fluchtauslösenden Ereignissen berichtet. Weiter erstaune, auch wenn die BzP in stark verkürzter Manier erfolgt sei, dass er an der BzP die Leistung des Militärdienstes verneint habe, ohne auf die Zeit in D._______ hinzuweisen. Es wäre zu erwarten gewesen, dass er den Beginn der militärischen Ausbildung erwähnt hätte. Weiter habe er erzählt, er habe im Jahr 2013 eine Identitätskarte beantragt und bekommen. An der Anhörung habe er angegeben, er habe bei der Gemeinde hierfür ein Gesuch deponieren müssen, während er später darauf hingewiesen habe, während dieser Zeit (2013) habe er sich vor den Behörden versteckt (SEM-Akte A23 F10-15, 57-60, 69-74). Darauf angesprochen habe er erklärt, die Identitätskarte habe mit dem Militärdienst nichts zu tun und der Besitz einer Identitätskarte sei Pflicht. Er habe diesbezüglich keine Schwierigkeiten gehabt. Es sei aber nicht nachvollziehbar, dass eine Person, die für den Militärdienst - ebenfalls eine Bürgerpflicht - gesucht werde, sich an die Behörden wende, um sich eine Identitätskarte ausstellen zu lassen. Ein derart unlogisches, unsubstantiiertes und teils widersprüchliches Vorbringen von entscheidrelevanten Tatsachen verstärke die Zweifel an der Glaubwürdigkeit einer Person und am geltend gemachten Sachverhalt. Zwar sei nicht auszuschliessen, dass der Beschwerdeführer in Haft gewesen sei. Es bestünden aber erhebliche Zweifel darüber, dass er nach D._______ transferiert worden sei und den Dienst verweigert habe respektive vor Beginn der Ausbildung geflohen sei. Die Gesamtwürdigung führe zum Schluss, dass sich der Beschwerdeführer auf eine konstruierte und wenig plausible Asylbegründung abstütze und er das Geschilderte nicht im vorgebrachten Kontext erlebt haben könne. Es erübrige sich daher, auf weitere Ungereimtheiten einzugehen. Schliesslich seien keine Anknüpfungspunkte ersichtlich, die ihn in den Augen des eritreischen Regimes als missliebige Person erscheinen lassen könnten, weshalb die geltend gemachte illegale Ausreise aus Eritrea nicht asylrelevant sei.</w:t>
      </w:r>
    </w:p>
    <w:p>
      <w:r>
        <w:rPr>
          <w:b/>
        </w:rPr>
        <w:t>E. 4.2</w:t>
      </w:r>
    </w:p>
    <w:p>
      <w:r>
        <w:t>Der Beschwerdeführer macht hiergegen geltend, die Vorinstanz habe die positiven Glaubhaftigkeitselemente seiner Vorbringen nicht berücksichtigt. Er habe seinen Haftaufenthalt detailliert und nachvollziehbar beschreiben können (SEM-Akte A23 F80, 90 ff.). An der BzP sei er sodann nicht zu seinen Gesuchsgründen befragt worden. Dementsprechend müssten seine Aussagen an der BzP relativiert werden. Er habe die Frage, ob er Militärdienst geleistet habe, verneint, ohne Gelegenheit gehabt zu haben, dies zu präzisieren. Er habe nur (...) in D._______ verbracht. Entsprechend habe er sich an der Anhörung nicht widersprochen. Nebst der Festnahme und Inhaftierung habe er keinen Behördenkontakt gehabt. Die Behörden hätten ihn zwar gesucht, er habe sich aber verstecken können. Eine Identitätskarte habe er sich ausstellen lassen, obwohl er von den Militärbehörden gesucht worden sei, da dies ein anderer Rechtsweg sei. Sein Vater habe für ihn mit dem Taufschein und Kopien der Identitätskarten der Eltern die Identitätskarte beantragen können. Er selbst habe sie dann im (...) 2013 in Asmara abholen können. Die von der Vorinstanz aufgezeigten Widersprüche dürften nicht derart gewichtet werden. Seine schlüssigen und realitätsnahen Schilderungen würden die vermeintliche Substanzarmut überlagern. Er sei wegen der versuchten illegalen Ausreise ernsthaften Nachteilen ausgesetzt gewesen und habe begründete Furcht vor künftiger Verfolgung wegen der Dienstverweigerung. Sodann würden bei ihm «weitere Faktoren» im Sinne des Grundsatzurteils des Bundesverwaltungsgerichts D-7898/2015 vom 30. Januar 2017 vorliegen. Er habe versucht, das Land illegal zu verlassen und sei deswegen inhaftiert worden. Damit habe er die Aufmerksamkeit der Behörden auf sich gezogen. Daher weise er zusammen mit der illegalen Ausreise ein geschärftes Profil auf, welches ihn als missliebige Person erscheinen lasse. Wegen subjektiver Nachfluchtgründe sei er als Flüchtling vorläufig aufzunehmen.</w:t>
      </w:r>
    </w:p>
    <w:p>
      <w:r>
        <w:rPr>
          <w:b/>
        </w:rPr>
        <w:t>E. 5.1</w:t>
      </w:r>
    </w:p>
    <w:p>
      <w:r>
        <w:t>Nach Durchsicht der Akten kommt das Gericht zum Schluss, dass die Vorinstanz in ihren Erwägungen zutreffend festgehalten hat, die Vorbringen des Beschwerdeführers genügten den Anforderungen an die Glaubhaftigkeit respektive Asylrelevanz im Sinne von Art. 7 und Art. 3 AsylG nicht. Daran vermögen die Ausführungen in der Beschwerdeschrift nichts zu ändern.</w:t>
      </w:r>
    </w:p>
    <w:p>
      <w:r>
        <w:rPr>
          <w:b/>
        </w:rPr>
        <w:t>E. 5.2</w:t>
      </w:r>
    </w:p>
    <w:p>
      <w:r>
        <w:t>Zunächst ist nicht nachvollziehbar, weshalb der Beschwerdeführer an der BzP von einem Aufgebot für den Militärdienst für (...) 2012 gesprochen hat, an der Anhörung aber angegeben hat, er habe kurz nach dem Verlassen der Schule (Ende 2010) respektive drei Monate nach dem Schulabbruch fast täglich Aufgebote für den Militärdienst erhalten (SEM-Akten A5 S. 4; A23 F52, 55). Diesen Widerspruch vermochte er nicht zu erklären (SEM-Akte A23 F211). Sodann ist fraglich, wie der Beschwerdeführer, obwohl er sich seit dem Schulabbruch versteckt habe, von (...) 2011 bis ins Jahr 2012 für ein (...) in Asmara gearbeitet haben will (SEM-Akte A23 F44 f., 70 ff.). Weiter überzeugt nicht, dass der Beschwerdeführer an der BzP verneint hat, in den Militärdienst eingetreten zu sein, ohne die an der Anhörung geltend gemachte Haft sowie den darauffolgenden Beginn der militärischen Ausbildung in D._______ wenigstens kurz zu erwähnen. Daran vermag der Umstand, dass es sich bei der BzP um eine Kurzbefragung handelt, nichts zu ändern. Ferner ist nicht verständlich, weshalb der Beschwerdeführer im Jahr 2013 bei der Gemeindeverwaltung eine Identitätskarte hätte beantragen sollen (SEM-Akte A23 F10 ff., 214 f.). Auch wenn es sich bei den Militärbehörden und der Gemeindeverwaltung um zwei unterschiedliche Behörden handelt, ist davon auszugehen, dass diese zusammenarbeiten respektive ist nicht ersichtlich, weshalb der Beschwerdeführer, hätte er tatsächlich einen Einzug in den Militärdienst befürchtet, ein solches Risiko hätte auf sich nehmen sollen. Die Erklärung hierzu in der Beschwerdeschrift, sein Vater habe die Identitätskarte für ihn beantragt, überzeugt nicht, zumal der Beschwerdeführer an der Anhörung angegeben hat, er selbst habe das Gesuch im Heimatdorf gestellt und die weiteren Schritte zum Erhalt der Identitätskarte unternommen, ohne den Vater zu erwähnen (SEM-Akte A23 F11). Weiter sind die Angaben des Beschwerdeführers zum vermeintlichen ersten Versuch der illegalen Ausreise (...) 2013, zu seiner angeblichen Inhaftierung und zum Beginn der militärischen Grundausbildung zu oberflächlich, unsubstantiiert und ohne persönliche Färbung ausgefallen (SEM-Akte A23 F52, 80, 90 ff., 112 ff., F130 ff.), um als glaubhaft eingestuft werden zu können. Insbesondere bezüglich der Haftzeit und Flucht wären ausführliche, detailreiche und persönliche Schilderungen zu erwarten gewesen, zumal es sich dabei um äusserst prägende Erfahrungen handeln würde. Fraglich ist sodann, weshalb die Militärbehörden dem Beschwerdeführer nach seiner angeblichen Flucht wiederum ein respektive mehrere Aufgebot(e) für den Militärdienst hätten zukommen lassen sollen (SEM-Akte A23 F53, 165 f.). Weiter vermochte der Beschwerdeführer nicht überzeugend darzulegen, was ihn schliesslich zum Entschluss, Eritrea zu verlassen, bewogen hat (SEM-Akte A23 F173). Nach dem Gesagten erweisen sich die vom Beschwerdeführer geltend gemachten Vorbringen aufgrund von Widersprüchen und unsubstantiierten Schilderungen insgesamt als unglaubhaft. Es erübrigt sich, auf weitere Ungereimtheiten in seinen Ausführungen einzugehen. Ferner vermochte der Beschwerdeführer keinen glaubhaften Kontakt zu den Militärbehörden geltend zu machen, weshalb er nicht in die Kategorie von Deserteuren und Dienstverweigerern fällt, welche nach der Rechtsprechung des Bundesverwaltungsgerichts den Flüchtlingsstatus zugesprochen erhalten (vgl. u.a. Urteil des BVGer E-1177/2019 vom 15. April 2019 E. 7.2).</w:t>
      </w:r>
    </w:p>
    <w:p>
      <w:r>
        <w:rPr>
          <w:b/>
        </w:rPr>
        <w:t>E. 5.3</w:t>
      </w:r>
    </w:p>
    <w:p>
      <w:r>
        <w:t>Des Weiteren kann gemäss aktueller Praxis des Gerichts allein aufgrund einer illegalen Ausreise keine begründete Furcht vor asylrechtlich beachtlicher Verfolgung angenommen werden (vgl. Referenzurteil des BVGer D-7898/2015 vom 30. Januar 2017 E. 4.6-5.1). Für die Begründung der Flüchtlingseigenschaft im eritreischen Kontext bedarf es neben der illegalen Ausreise zusätzlicher Anknüpfungspunkte, welche die asylsuchende Person in den Augen der eritreischen Behörden als missliebige Person erscheinen lässt und dadurch zu einer flüchtlingsrechtlich relevanten Verfolgungsgefahr führen könnten (vgl. a.a.O., E. 5.1). Nachdem oben dargelegt worden ist, dass dem Beschwerdeführer nicht geglaubt werden kann, bei einem ersten Ausreiseversuch inhaftiert und in der Folge in Kontakt mit den eritreischen Militärbehörden gekommen zu sein, bestehen keine Hinweise darauf, dass - neben der geltend gemachten illegalen Ausreise (...) 2014 - zusätzliche Anknüpfungspunkte existieren, welche ihn in den Augen der eritreischen Behörden als missliebige Person erscheinen lassen würden. Im Lichte der neueren Rechtsprechung des Bundesverwaltungsgerichts erfüllt er die Flüchtlingseigenschaft deshalb - entgegen seiner Ansicht - auch unter diesem Aspekt nicht.</w:t>
      </w:r>
    </w:p>
    <w:p>
      <w:r>
        <w:rPr>
          <w:b/>
        </w:rPr>
        <w:t>E. 5.4</w:t>
      </w:r>
    </w:p>
    <w:p>
      <w:r>
        <w:t>Zusammenfassend ergibt sich, dass die geltend gemachten Vorbringen nicht geeignet sind, eine flüchtlingsrechtlich relevante Verfolgungsfurcht zu begründen. Die Vorinstanz hat die Flüchtlingseigenschaft des Beschwerdeführers zu Recht verneint und dessen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7</w:t>
      </w:r>
    </w:p>
    <w:p>
      <w:r>
        <w:t>Der Beschwerdeführer vertritt die Auffassung, der Wegweisungsvollzug sei angesichts der ihm drohenden Einziehung in den eritreischen Nationaldienst als unzulässig zu qualifizieren (Art. 3 und 4 Abs. 2 EMRK). Ferner sei die Praxis der Zahlung einer Diasporasteuer sowie der Unterzeichnung eines Reuebriefs höchst problematisch.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Nach Art. 83 Abs. 3 AIG ist der Vollzug nicht zulässig, wenn völkerrechtliche Verpflichtungen der Schweiz einer Weiterreise der Ausländerin oder des Ausländers in den Heimat-, Herkunfts- oder einen Drittstaat entgegenstehen. Vorliegend kommt dem Beschwerdeführer wie oben dargelegt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7.2.1</w:t>
      </w:r>
    </w:p>
    <w:p>
      <w:r>
        <w:t>Aufgrund des Alters des Beschwerdeführers kann ein allfälliger Einzug in den Nationaldienst bei seiner Rückkehr nach Eritrea nicht ausgeschlossen werden (vgl. zur eritreischen Musterungspraxis auch das Referenzurteil D-2311/2016 vom 17. August 2017, E. 13.2-13.4).</w:t>
      </w:r>
    </w:p>
    <w:p>
      <w:r>
        <w:rPr>
          <w:b/>
        </w:rPr>
        <w:t>E. 7.2.2</w:t>
      </w:r>
    </w:p>
    <w:p>
      <w:r>
        <w:t>Die Frage der Zulässigkeit des Wegweisungsvollzugs bei anstehender Einziehung in den eritreischen Nationaldienst ist vom Bundesverwaltungsgericht mit Grundsatzurteil BVGE 2018 VI/4 geklärt worden.</w:t>
      </w:r>
    </w:p>
    <w:p>
      <w:r>
        <w:rPr>
          <w:b/>
        </w:rPr>
        <w:t>E. 7.2.3</w:t>
      </w:r>
    </w:p>
    <w:p>
      <w:r>
        <w:t>Das Gericht hat die Zulässigkeit des Wegweisungsvollzugs im genannten Urteil sowohl unter dem Gesichtspunkt des Zwangsarbeitsverbots (Art. 4 Abs. 2 EMRK) als auch unter jenem des Verbots der Folter und der unmenschlichen und erniedrigenden Behandlung (Art. 3 EMRK) geprüft und im Falle einer freiwilligen Rückkehr bejaht (vgl. BVGE 2018 VI/4 E. 6.1). Es kann auf die Ausführungen im genannten Urteil verwiesen werden. Vorliegend ist nicht ersichtlich, weshalb im Falle des Beschwerdeführers eine allfällige Einziehung in den Nationaldienst diese Bestimmungen verletzen sollte.</w:t>
      </w:r>
    </w:p>
    <w:p>
      <w:r>
        <w:rPr>
          <w:b/>
        </w:rPr>
        <w:t>E. 7.2.4</w:t>
      </w:r>
    </w:p>
    <w:p>
      <w:r>
        <w:t>Aus den Akten ergeben sich keine weiteren Gründe für die Annahme der Unzulässigkeit des Wegweisungsvollzugs. Der Wegweisungsvollzug ist folglich als zulässig zu betrachten.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drohende Einziehung in den eritreischen Nationaldienst führt mangels einer hinreichend konkreten Gefährdung auch nicht generell zur Feststellung der Unzumutbarkeit des Wegweisungsvollzugs gemäss Art. 83 Abs. 4 AIG (vgl. BVGE 2018 VI/4 E. 6.2). Umstände, weshalb dies im Falle des Beschwerdeführers anders sein sollte, sind nicht ersichtlich. Entgegen der Ansicht des Beschwerdeführers spricht auch die Praxis der Bezahlung der Diasporasteuer sowie der Unterzeichnung eines Reuebriefs zur Regelung des Status mit den eritreischen Behörden nicht gegen einen Wegweisungsvollzug (vgl. dazu das Referenzurteil D-2311/2016 E. 13.2 m.H. auf D-7898/2015 E. 4.11).</w:t>
      </w:r>
    </w:p>
    <w:p>
      <w:r>
        <w:rPr>
          <w:b/>
        </w:rPr>
        <w:t>E. 7.3.2</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indes nicht mehr zwingende Voraussetzung für die Zumutbarkeit des Wegweisungsvollzugs (vgl. Referenzurteil D-2311/2016 E. 16 f.).</w:t>
      </w:r>
    </w:p>
    <w:p>
      <w:r>
        <w:rPr>
          <w:b/>
        </w:rPr>
        <w:t>E. 7.3.3</w:t>
      </w:r>
    </w:p>
    <w:p>
      <w:r>
        <w:t>Beim Beschwerdeführer handelt es sich um einen jungen und gesunden Mann, der über Schulbildung bis zur (...) Klasse sowie über Berufserfahrung in mehreren Bereichen verfügt. Mithin ist ihm zuzumuten, sich in der Heimat eine wirtschaftliche Existenz aufzubauen. Ferner verfügt seine Familie über eigenes Land zur Bewirtschaftung und über Tiere (SEM-Akte A23 F29 ff.). Mit seinen (...) Geschwistern ([...], SEM-Akte A5 S. 5) sowie einem Onkel, der ihn bereits vor der Ausreise bei sich hat wohnen lassen, kann der Beschwerdeführer - unabhängig davon, ob seine Eltern verstorben sind oder nicht (vgl. Schreiben vom 29. Oktober 2018, ohne Nachweise der geltend gemachten Todesfälle) - auf ein familiäres Beziehungsnetz und eine gesicherte Wohnsituation zurückgreifen. Es ist davon auszugehen, dass ihn seine Familie - soweit nötig - bei seiner Rückkehr unterstützen wird. Entsprechend sind keine Anhaltspunkte dafür ersichtlich, dass er bei einer Rückkehr in eine existenzielle Notlage geraten würde. Nach dem Gesagten erweist sich der Vollzug der Wegweisung auch als zumutbar.</w:t>
      </w:r>
    </w:p>
    <w:p>
      <w:r>
        <w:rPr>
          <w:b/>
        </w:rPr>
        <w:t>E. 7.4</w:t>
      </w:r>
    </w:p>
    <w:p>
      <w:r>
        <w:t>Zwar ist darauf hinzuweisen, dass derzeit die zwangsweise Rückführung nach Eritrea generell nicht möglich ist. Die Möglichkeit der freiwilligen Rückkehr steht aber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1-3 des Reglements vom 21. Februar 2008 über die Kosten und Entschädigungen vor dem Bundesverwaltungsgericht [VGKE, SR 173.320.2]). Indes wurden mit Instruktionsverfügung vom 28. Mai 2018 die Gesuche um Gewährung der unentgeltlichen Prozessführung und amtlichen Rechtsverbeiständung gutgeheissen, weshalb keine Kosten zu erheben sind.</w:t>
      </w:r>
    </w:p>
    <w:p>
      <w:r>
        <w:rPr>
          <w:b/>
        </w:rPr>
        <w:t>E. 9.2</w:t>
      </w:r>
    </w:p>
    <w:p>
      <w:r>
        <w:t>Die eingereichte Kostennote vom 24. Mai 2018, die einen zeitlichen Aufwand von 9.5 Stunden aufweist, erscheint nicht angemessen und ist - unter Berücksichtigung der Eingabe vom 29. Oktober 2018 - um drei Stunden zu reduzieren. Die Spesenpauschale wird praxisgemäss nicht vergütet. Unter Berücksichtigung des massgebenden Stundenansatzes (vgl. obgenannte Instruktionsverfügung) und der Bemessungsfaktoren (Art. 12 i.V.m. Art. 9-11 VGKE), ist der amtlichen Rechtsbeiständin zulasten der Gerichtskasse ein amtliches Honorar in der Höhe von Fr. 1'050.- (inkl.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