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E-3043/2014 vom 19. Juni 2014</w:t>
      </w:r>
    </w:p>
    <w:p>
      <w:r>
        <w:t>Bundesverwaltungsgericht, 2014-06-19, DE</w:t>
      </w:r>
    </w:p>
    <w:p>
      <w:r>
        <w:rPr>
          <w:b/>
        </w:rPr>
        <w:t xml:space="preserve">Quelle: </w:t>
      </w:r>
      <w:r>
        <w:t>https://mcp.opencaselaw.ch/entscheid/bvger_E-3043_2014</w:t>
      </w:r>
    </w:p>
    <w:p>
      <w:r>
        <w:t>FR: TAF E-3043/2014 du 19 juin 2014</w:t>
      </w:r>
    </w:p>
    <w:p>
      <w:r>
        <w:t>IT: TAF E-3043/2014 del 19 giugno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 des Beschwerdeführers ist auf Eng­lisch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Auf die im Weiteren fristgerecht eingereichte Beschwerde ist somit einzutreten. Gestützt auf Art. 33a Abs. 2 VwVG i.V.m. Art. 6 AsylG ergeht der vorliegende Entscheid in deutscher Sprache.</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4.1</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im Wesentlichen fest, dass der Beschwerdeführer ernstzunehmende Schwierigkeiten mit den eritreischen Behörden habe, ihm mit dem Sudan aber eine Fluchtalternative zur Verfügung stehe und es ihm zuzumuten sei, wieder in das ihm dort zugewiesene Flüchtlingslager zurückzukehren. Die in der Schweiz lebenden Verwandten bildeten keinen ausreichend gewichtigen Anknüpfungspunkt zur Schweiz, weshalb nicht von einer besonderen Beziehungsnähe zur Schweiz ausgegangen werden könne.</w:t>
      </w:r>
    </w:p>
    <w:p>
      <w:r>
        <w:rPr>
          <w:b/>
        </w:rPr>
        <w:t>E. 5.2</w:t>
      </w:r>
    </w:p>
    <w:p>
      <w:r>
        <w:t>Was der Beschwerdeführer dagegen vorbringt, ist nicht geeignet, die vorinstanzlichen Erwägungen umzustossen. Soweit er die Verfolgung von Flüchtlingen durch die Polizei in B._______ anführt, ist ihm mit der Vorinstanz entgegenzuhalten, dass er als vom UNHCR registrierter Flüchtling im Sudan nicht über ein freies Aufenthaltsrecht für das gesamte Land verfügt, weshalb er sich in das ihm zugewiesene Flüchtlingslager zurückbegeben muss. Sollte er im Lager in eine kritische Situation geraten, könne er beim dortigen UNHCR um Schutz ersuchen. Dieser Aufforderung kann sich das Gericht auch in Bezug auf die vom Beschwerdeführer in der Rechtsmitteleingabe angeführten Konfrontationen mit den muslimischen Bewohnern im fraglichen Lager anschliessen. Hinsichtlich der geltend gemachten widrigen Lebensumstände hat die Vorinstanz anerkannt, dass die Situation im Lager infolge der zahlreichen Flüchtlinge nicht einfach ist, was aber nicht gegen die Zumutbarkeit eines weiteren Verbleibs im Sudan spricht. Der Beschwerdeführer konnte in der Rechtsmitteleingabe zudem keine konkreten, seine Person direkt betreffende Umstände oder Ereignisse nennen, welche seinen Verbleib im Flüchtlingslager als unzumutbar erscheinen lassen. Ebenso wenig vermochte er darzutun, inwiefern seine Furcht vor einer Deportation respektive Entführung aus dem sudanesischen Lager nach Eritrea konkret begründet wäre. Es sind hierfür auch keine Anhaltspunkte ersichtlich.</w:t>
      </w:r>
    </w:p>
    <w:p>
      <w:r>
        <w:rPr>
          <w:b/>
        </w:rPr>
        <w:t>E. 5.3</w:t>
      </w:r>
    </w:p>
    <w:p>
      <w:r>
        <w:t>Es ist deshalb mit der Vorinstanz einig zu gehen, dass der Beschwerdeführer den zusätzlichen subsidiären Schutz der Schweiz nicht benötigt und es ihm zuzumuten ist, im Sudan zu verbleiben. Die Vorinstanz hat demnach dem Beschwerdeführer zu Recht die Einreise in die Schweiz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