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E-3043/2013 vom 4. Juni 2013</w:t>
      </w:r>
    </w:p>
    <w:p>
      <w:r>
        <w:t>Bundesverwaltungsgericht, 2013-06-04, DE</w:t>
      </w:r>
    </w:p>
    <w:p>
      <w:r>
        <w:rPr>
          <w:b/>
        </w:rPr>
        <w:t xml:space="preserve">Quelle: </w:t>
      </w:r>
      <w:r>
        <w:t>https://mcp.opencaselaw.ch/entscheid/bvger_E-3043_2013</w:t>
      </w:r>
    </w:p>
    <w:p>
      <w:r>
        <w:t>FR: TAF E-3043/2013 du 4 juin 2013</w:t>
      </w:r>
    </w:p>
    <w:p>
      <w:r>
        <w:t>IT: TAF E-3043/2013 del 4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Beschwerdeführenden sind als Verfügungsadressaten zur Beschwerdeführung legitimiert (Art. 48 VwVG). Auf die frist- und formgerecht eingereichte Beschwerde (Art. 108 Abs. 2 AsylG und Art. 52 VwVG) ist vorbehältlich der nachstehenden Erwägungen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zu überprüfen (Art. 32-35 AsylG), ist die Beurteilungskompetenz der Beschwerdeinstanz grundsätzlich auf die Frage beschränkt, ob die Vorinstanz zu Recht auf das Asylgesuch nicht eingetreten ist. Bezüglich der Wegweisung und des Vollzuges ist die Beurteilungskompetenz nicht beschränkt, da die Vorinstanz dies materiell geprüft hat.</w:t>
      </w:r>
    </w:p>
    <w:p>
      <w:r>
        <w:rPr>
          <w:b/>
        </w:rPr>
        <w:t>E. 2.2</w:t>
      </w:r>
    </w:p>
    <w:p>
      <w:r>
        <w:t>Vorliegend bilden die Gewährung von Asyl und die Anerkennung der Flüchtlingseigenschaft nicht Gegenstand des angefochtenen vorinstanzlichen Nichteintretensentscheides, weshalb auf die diesbezüglichen Beschwerdeanträge nicht einzutreten ist.</w:t>
      </w:r>
    </w:p>
    <w:p>
      <w:r>
        <w:rPr>
          <w:b/>
        </w:rPr>
        <w:t>E. 2.3</w:t>
      </w:r>
    </w:p>
    <w:p>
      <w:r>
        <w:t>Die Beschwerde erweist sich als offensichtlich unbegründet und ist im Verfahren einzelrichterlicher Zuständigkeit mit Zustimmung eines zweiten Richters (Art. 111 Bst. e AsylG) unter Verzicht auf die Durchführung eines Schriftenwechsels und mit summarischer Begründung zu behandeln (Art. 111a AsylG).</w:t>
      </w:r>
    </w:p>
    <w:p>
      <w:r>
        <w:rPr>
          <w:b/>
        </w:rPr>
        <w:t>E. 3.1</w:t>
      </w:r>
    </w:p>
    <w:p>
      <w:r>
        <w:t>Gemäss Art. 32 Abs. 2 Bst. b AsylG wird auf ein Asylgesuch nicht eingetreten, wenn die asylsuchende Person die Behörden über ihre Identität täuscht und diese Täuschung aufgrund der Ergebnisse der erkennungsdienstlichen Behandlung oder anderer Beweismittel feststeht. Der Begriff der Identität umfasst Namen, Vornamen, Staatsangehörigkeit, Ethnie, Geburtsdatum, Geburtsort und Geschlecht des Asylsuchenden (Art. 1 Bst. a der Asylverordnung 1 vom 11. August 1999 über Verfahrensfragen [AsylV 1, SR 142.311]).</w:t>
      </w:r>
    </w:p>
    <w:p>
      <w:r>
        <w:rPr>
          <w:b/>
        </w:rPr>
        <w:t>E. 3.2</w:t>
      </w:r>
    </w:p>
    <w:p>
      <w:r>
        <w:t>Aufgrund der Beweislastregelung genügt es gemäss ständiger Praxis nicht, die gegenüber schweizerischen Behörden geäusserten Angaben über die Identität als unwahrscheinlich oder unplausibel zu qualifizieren. Vielmehr muss die Falschheit der Angaben nachweislich feststehen und die Behörde den Nachweis der Identitätstäuschung erbringen. Vom Vorliegen einer solchen kann nur ausgegangen werden, wenn aufgrund der vorhandenen Beweismittel keine vernünftigen Zweifel an der Täuschung bestehen (vgl. Entscheidungen und Mitteilungen der Schweizerischen Asylrekurskommission [EMARK] 2003 Nr. 27 E. 4a).</w:t>
      </w:r>
    </w:p>
    <w:p>
      <w:r>
        <w:rPr>
          <w:b/>
        </w:rPr>
        <w:t>E. 3.3</w:t>
      </w:r>
    </w:p>
    <w:p>
      <w:r>
        <w:t>Vorliegend haben die Abklärungen des BFM bei beiden Beschwerdeführenden eine andere als die jeweils angegebene Identität ergeben, dies bezüglich Name, Vorname und Geburtstag respektive Geburtsjahr. Die durchgeführte Identitätsprüfung genügt den Beweisanforderungen im Sinne von Art. 32 Abs. 2 Bst. b AsylG und wird von den Beschwerdeführenden betreffend die Ehefrau sogar explizit bestätigt. In ihrer Stellungnahme vom 30. April 2013 räumten die Beschwerdeführenden die Täuschung ein und machten betreffend den Beschwerdeführer eine weitere Identität geltend, welche sie jedoch in keinerlei Hinsicht belegten. In der Beschwerde führen sie aus, sie hätten aus Angst vor einer Ausschaffung falsche Angaben zu ihrer Identität gemacht. Der Beschwerdeführer sei in Georgien verurteilt worden und dürfe nicht dorthin zurückkehren. Seine berufliche Existenz sei zerstört worden, und sein Leben sei durch die Mafia bedroht. Die von ihm nunmehr vorgebrachte Identität könne leicht durch die Schweizerische Botschaft in Georgien überprüft werden. Das von ihm eingereichte Urteil sei echt, er habe dieses nicht in der Absicht eingereicht, die Behörden zu täuschen. Diese Vorbringen vermögen die zutreffenden Ausführungen im angefochtenen Entscheid nicht umzustossen. Die vom Beschwerdeführer neu angegebene Identität stimmt zwar mit dem Namen auf dem in Kopie eingereichten Urteil überein, aber es ist nicht ersichtlich, dass es sich bei der genannten Person tatsächlich um den Beschwerdeführer handeln würde. Das Abklärungsergebnis der Botschaft in Tiflis ist daher nicht in Zweifel zu ziehen. Es liegt eine Identitätstäuschung im Sinne von Art. 32 Abs. 2 Bst. b AsylG vor; das Bundesamt ist demnach zu Recht auf die Asylgesuche der Beschwerdeführenden nicht eingetreten.</w:t>
      </w:r>
    </w:p>
    <w:p>
      <w:r>
        <w:rPr>
          <w:b/>
        </w:rPr>
        <w:t>E. 4</w:t>
      </w:r>
    </w:p>
    <w:p>
      <w:r>
        <w:t>Tritt das BFM auf ein Asylgesuch nicht ein, so verfügt es in der Regel die Wegweisung aus der Schweiz und ordnet den Vollzug an (Art. 44 Abs. 1 AsylG). Die Beschwerdeführenden verfügen weder über eine ausländerrechtliche Aufenthaltsbewilligung noch über einen Anspruch auf Erteilung einer solchen.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des Ausländers in den Heimat-, Herkunfts- oder einen Drittstaat entgegenstehen. Da den Beschwerdeführenden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Beschwerdeführenden wären im Falle einer Ausschaffung in den Heimatstaat dort mit beachtlicher Wahrscheinlichkeit einer verbotenen Strafe oder Behandlung ausgesetzt. Der Wegweisungsvollzug ist demnach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In Georgien herrscht keine Situation allgemeiner Gewalt. Der Beschwerdeführer macht geltend, er sei aufgrund einer Verurteilung in seinem Hei-matland gefährdet. Nachdem er die Behörden über seine Identität getäuscht und auch im vorliegenden Verfahren keinerlei Unterlagen zum Nachweis seiner nunmehr behaupteten Identität eingereicht hat, ist nicht davon auszugehen, dass das von ihm eingereichte Urteil tatsächlich seine Person betrifft. Im Übrigen sind keine individuellen Gründe ersichtlich, welche auf eine konkrete Gefährdung bei einer Rückkehr schliessen lassen würden. Hinsichtlich seiner persönlichen Situation kann auf die zutreffenden Ausführungen im angefochtenen Entscheid verwiesen werden. Der Vollzug der Wegweisung erweist sich damit auch als zumutbar.</w:t>
      </w:r>
    </w:p>
    <w:p>
      <w:r>
        <w:rPr>
          <w:b/>
        </w:rPr>
        <w:t>E. 5.4</w:t>
      </w:r>
    </w:p>
    <w:p>
      <w:r>
        <w:t>Schliesslich obliegt es den Beschwerdeführenden,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 Die prozessualen Anträge sind wegen Aussichtslosigkeit abzuweisen beziehungsweise werden mit vorliegendem Urteil in der Hauptsache gegenstandslos.</w:t>
      </w:r>
    </w:p>
    <w:p>
      <w:r>
        <w:rPr>
          <w:b/>
        </w:rPr>
        <w:t>E. 7</w:t>
      </w:r>
    </w:p>
    <w:p>
      <w:r>
        <w:t>Bei diesem Ausgang des Verfahrens sind die Kosten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