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E-3040/2017 vom 28. Juli 2017</w:t>
      </w:r>
    </w:p>
    <w:p>
      <w:r>
        <w:t>Bundesverwaltungsgericht, 2017-07-28, DE</w:t>
      </w:r>
    </w:p>
    <w:p>
      <w:r>
        <w:rPr>
          <w:b/>
        </w:rPr>
        <w:t xml:space="preserve">Quelle: </w:t>
      </w:r>
      <w:r>
        <w:t>https://mcp.opencaselaw.ch/entscheid/bvger_E-3040_2017</w:t>
      </w:r>
    </w:p>
    <w:p>
      <w:r>
        <w:t>FR: TAF E-3040/2017 du 28 juillet 2017</w:t>
      </w:r>
    </w:p>
    <w:p>
      <w:r>
        <w:t>IT: TAF E-3040/2017 del 28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Das Verfahren wird mit dem Verfahren E-3042/2017 des Lebenspartners koordiniert und ergeht mit demselben Spruchkörper.</w:t>
      </w:r>
    </w:p>
    <w:p>
      <w:r>
        <w:rPr>
          <w:b/>
        </w:rPr>
        <w:t>E. 3.1</w:t>
      </w:r>
    </w:p>
    <w:p>
      <w:r>
        <w:t>Die Beschwerdeführerin macht zunächst geltend, die Vorinstanz habe es in ihrer Verfügung unterlassen, die aktuelle politische Entwicklung in der Osttürkei detailliert darzulegen und so ihre Begründungspflicht verletzt. Zudem sei nicht ersichtlich, auf welche Quellen sich die vorinstanzlichen Aussagen zur medizinischen und psychiatrischen-psychologischen Versorgungslage in der Türkei stützen.</w:t>
      </w:r>
    </w:p>
    <w:p>
      <w:r>
        <w:rPr>
          <w:b/>
        </w:rPr>
        <w:t>E. 3.2</w:t>
      </w:r>
    </w:p>
    <w:p>
      <w:r>
        <w:t>Bezüglich der vorgebrachten Verletzung der Begründungspflicht ist darauf zu verweisen, dass die Begründungspflicht die Vorinstanz lediglich dazu verpflichtet, kurz die wesentlichen Überlegungen zu nennen, von denen sich die Behörde hat leiten lassen und auf die sie ihren Entscheid stützt. So geht aus der angefochtenen Verfügung hervor, dass die Vorinstanz die wesentlichen Vorbringen der Beschwerdeführerin gewürdigt hat und eine sachgerechte Anfechtung ohne weiteres möglich war. Zudem war die Vorinstanz auch nicht zur Offenlegung der Quellen verpflichtet, auf welche sich ihre Einschätzung stützt, da es sich hierbei um interne Akten handelt, die nicht dem Akteneinsichtsrecht unterstehen. Die formellen Rügen erweisen sich angesichts dieser Sachlage als unbegründet, weshalb keine Veranlassung besteht, die Sache aus formellen Gründen aufzuheben und an die Vorinstanz zurückzuweisen. Die Rechtsbegehren sind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4.3</w:t>
      </w:r>
    </w:p>
    <w:p>
      <w:r>
        <w:t>Die Vorinstanz begründet ihren Entscheid damit, die Beschwerdeführerin habe in der Türkei weder mit den Behörden noch mit den Sicherheitskräften Probleme gehabt. Bei den Übergriffen durch ihren Bruder, der befürchteten Zwangsheirat sowie der Angst vor einem Ehrenmord handle es sich um erlittene beziehungsweise befürchtete Verfolgung durch Private. Die Situation der Frauen habe sich in der Türkei besonders im Bereich der Schutzvorkehrungen vor Übergriffen deutlich verbessert. Der türkische Staat verfüge über eine funktionierende und wirksame Schutzinfrastruktur. Der Beschwerdeführerin wäre es möglich gewesen, mit Hilfe der türkischen Behörden gegen die drohende Zwangsheirat beziehungsweise ihren Bruder vorzugehen oder sich an weitere türkische Anlaufstellen zu wenden. Sie habe zu keinem Zeitpunkt versucht, Schutz von den Behörden zu erhalten.</w:t>
      </w:r>
    </w:p>
    <w:p>
      <w:r>
        <w:rPr>
          <w:b/>
        </w:rPr>
        <w:t>E. 4.4</w:t>
      </w:r>
    </w:p>
    <w:p>
      <w:r>
        <w:t>Die Beschwerdeführerin macht dagegen geltend, im Rahmen der aktuellen Therapie habe sie erstmals mitteilen können, dass sie im Alter von (...) Jahren vergewaltigt worden sei. Dies habe bei ihr zu einer posttraumatischen Belastungsstörung geführt. Die türkischen Behörden seien weder schutzfähig noch schutzwillig. Seit dem Putschversuch könne die Unabhängigkeit der türkischen Justiz nicht mehr garantiert werden. Eine effektive Strafverfolgung sei aufgrund ihrer kurdischen Abstammung zweifelhaft. Zudem sei der Justizapparat überlastet. Eine Anzeige würde keine Wirkung zeigen. Die Inanspruchnahme der Justiz sei ihr wegen ihrer schlechten Schulbildung, ihrer psychischen Verfassung sowie ihrer geringen finanziellen Mittel nicht zumutbar.</w:t>
      </w:r>
    </w:p>
    <w:p>
      <w:r>
        <w:rPr>
          <w:b/>
        </w:rPr>
        <w:t>E. 4.5</w:t>
      </w:r>
    </w:p>
    <w:p>
      <w:r>
        <w:t>Bei den vorgebrachten Übergriffen und den Bedrohungen durch den Bruder sowie der drohenden Zwangsheirat und der Furcht vor einem Ehrenmord handelt es sich um eine Verfolgung durch einen nicht-staatlichen Akteur. Das Bundesverwaltungsgericht hat sich zur Schutzfähigkeit und dem Schutzwillen der türkischen Behörden hinsichtlich des Umgangs mit Opfern von häuslicher Gewalt und Zwangsheirat geäussert. Die Türkei hat in den vergangenen Jahren kontinuierlich Schritte zur Verbesserung der rechtlichen und gesellschaftlichen Situation der Frauen im Allgemeinen sowie im Besonderen zu deren Schutz vor Übergriffen mit soziokulturellem Hintergrund bis hin zum Ehrenmord unternommen. So trat im Jahre 2012 das Gesetz Nr. 6284 zum Schutz der Familie und zur Verhütung von Gewalt gegen Frauen in Kraft, welches auf Opferschutz und die Anordnung von verschiedenen Sicherheits- und Unterstützungsmassnahmen abzielt, wobei neu alle Frauen - auch unverheiratete - geschützt werden. Gemäss Urteil des BVGer D-4592/2013 vom 8. Januar 2014 sind von 166 geschaffenen Familiengerichten 157 zugänglich, und es gebe bisher (Stand November 2012) 76 Frauenhäuser für Opfer von häuslicher verbaler, emotionaler, wirtschaftlicher, sexueller oder körperlicher Gewalt (vgl. a.a.O. E. 5.1). Die bedrohten Frauen seien innerfamiliären Übergriffen nicht völlig schutzlos ausgeliefert. Vielmehr zeige sich, dass die türkischen Behörden entschlossen seien, gegen Ehrenmorde effektiv vorzugehen und dass sie grundsätzlich auch in der Lage seien, Schutz zu gewähren (vgl. a.a.O. E. 5.2). Auch wenn in der Türkei nach wie vor Ehrenmorde geschehen, so bedeutet dies keineswegs, dass die bedrohten Frauen innerfamiliären Übergriffen völlig schutzlos ausgeliefert wären. Vielmehr zeigt sich gemäss vorstehenden Ausführungen, dass die türkischen Behörden entschlossen sind, gegen diese Phänomene effektiv vorzugehen und dass sie grundsätzlich auch in der Lage sind, Schutz zu gewähren. Diesen Umstand vermögen auch die aktuellen politischen Entwicklungen nicht zu ändern. Somit ist in Übereinstimmung mit der Vorinstanz vom behördlichen Schutzwillen und der behördlichen Schutzfähigkeit auszugehen. Darüber hinaus ist der Beschwerdeführerin die Inanspruchnahme der staatlichen Schutzinfrastruktur auch zumutbar. Bis zu ihrer Ausreise hat die Beschwerdeführer kein einziges Mal versucht, sich an eine Schutzstelle, wie die Polizei, die Justiz oder Frauenhäuser, zu wenden. Ihr unbelegter Einwand, eine Meldung bei der Polizei hätte sowieso nichts gebracht, ist nicht geeignet den behördlichen Schutzwillen und die Schutzfähigkeit zu widerlegen. Es ist auch davon auszugehen, dass sie sich bei den türkischen Behörden Gehör zu verschaffen vermag. Das türkische Justizsystem ist so ausgestaltet, dass es jeder Person, unabhängig von ihrer Schulbildung, in Anspruch nehmen kann. Zudem verfügt die Beschwerdeführerin durchaus über eine gewisse Selbständigkeit, da sie durch den Verlust ihrer Eltern bereits früh zur Selbständigkeit gezwungen wurden und für ihren Lebensunterhalt eigenständig aufkommen musste. Ferner kann sie sowohl auf die moralische als auch finanzielle Unterstützung ihres Lebenspartners zählen, welcher bereits ihre Ausreise finanzierte und somit in der Lage wäre, allfällige Verfahrens- sowie Anwaltskosten zu bezahlen und sie bei den Behördengängen zu unterstützen.</w:t>
      </w:r>
    </w:p>
    <w:p>
      <w:r>
        <w:rPr>
          <w:b/>
        </w:rPr>
        <w:t>E. 4.6</w:t>
      </w:r>
    </w:p>
    <w:p>
      <w:r>
        <w:t>Hinzuzufügen ist, dass der neu auf Beschwerdeebene geltend gemachten Vergewaltigung, unabhängig davon, ob sie als glaubhaft zu bewertet ist, keine Asylrelevanz zukommt. Die Vergewaltigung liegt bereits mehr als (...) Jahre zurück und wurde durch die Beschwerdeführerin nicht als Grund ihrer Flucht vorgebracht. Eine zeitliche wie auch sachliche Kausalität der Vergewaltigung für die Ausreise ist zu verneinen.</w:t>
      </w:r>
    </w:p>
    <w:p>
      <w:r>
        <w:rPr>
          <w:b/>
        </w:rPr>
        <w:t>E. 5</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6.1</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die Beschwerdeführerin für den Fall einer Ausschaffung in die Türkei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die Ausländerin oder der Ausländer im Heimat- oder Herkunftsstaat aufgrund von Situationen wie Krieg, Bürgerkrieg, allgemeiner Gewalt und medizinischer Notlage konkret gefährdet ist.</w:t>
      </w:r>
    </w:p>
    <w:p>
      <w:r>
        <w:rPr>
          <w:b/>
        </w:rPr>
        <w:t>E. 6.2.1</w:t>
      </w:r>
    </w:p>
    <w:p>
      <w:r>
        <w:t>Die Beschwerdeführerin macht geltend, ihre Wegweisung mit Blick auf die aktuellen Ereignisse in der Türkei sei unzumutbar. Als Kurdin ohne soziales Netzwerk sei sie sozioökonomisch nicht gesichert. Bereits nach ihrer Vergewaltigung habe sie keine psychologische Hilfe erhalten. Auch zum heutigen Zeitpunkt könne sie nicht auf fachärztliche Hilfe zählen. Eine innerstaatliche Wohnsitzalternative sei ihr zudem nicht zumutbar.</w:t>
      </w:r>
    </w:p>
    <w:p>
      <w:r>
        <w:rPr>
          <w:b/>
        </w:rPr>
        <w:t>E. 6.2.2</w:t>
      </w:r>
    </w:p>
    <w:p>
      <w:r>
        <w:t>In der Türkei herrscht keine landesweite Situation allgemeiner Gewalt. Trotz Berücksichtigung des Wiederaufflammens des türkisch-kurdischen Konfliktes sowie der bewaffneten Auseinandersetzungen zwischen der Kurdischen Arbeiterpartei (PKK) und staatlichen Sicherheitskräften seit Juli 2015 in verschiedenen Provinzen im Südosten des Landes - zu denen weder der letzte Wohnort der Beschwerdeführerin noch der Wohnort ihres Lebenspartners gehört (im Einzelnen: Batman, Diyarbakir, Marsin, Siirt, Urfa und Van, anders als die Provinzen Hakkari und Sirnak, zu den Letzteren BVGE 2013/2 E. 9.6) - und der Entwicklungen nach dem Militärputschversuch vom 15./16. Juli 2016, ist gemäss konstanter Praxis nicht von einer Situation allgemeiner Gewalt oder bürgerkriegsähnlichen Verhältnissen - auch nicht für Angehörige der kurdischen Ethnie - auszugehen (jüngst bestätigt in den Urteilen BVGer E-2420/2017 vom 8. Mai 2017 E. 6.2 und D-4568/2016 vom 15. März 2017 E. 6.4.2). Auch in individueller Hinsicht sind keine Gründe ersichtlich, welche zur Unzumutbarkeit des Wegweisungsvollzugs führen würden. Die Beschwerdeführerin hat die Primarschule abgeschlossen und ein Jahr lang die Mittelschule besucht. Anschliessend arbeitete sie drei Jahre in einer Fabrik und finanzierte in der Folge ihren Lebensunterhalt mit landwirtschaftlichen Tätigkeiten (vgl. Akten der Vorinstanz A7/15, F1.17; A26/21, F102f.). Vor ihrer Ausreise wohnte sie mehrere Monate mit ihrem Lebenspartner zusammen, der sie in dieser Zeit moralisch wie auch finanziell unterstützte und ihre Ausreise finanzierte. Bei einer Rückkehr steht es ihr offen, zusammen mit ihrem Lebenspartner Wohnsitz in F._______ zu nehmen, wo sie sich mit dessen Hilfe sowie jener seiner Verwandten eine neue Existenz aufbauen kann. Hinsichtlich des Gesundheitszustandes der Beschwerdeführerin geht aus den auf Beschwerdeebene eingereichten ärztlichen Bericht hervor, dass sie an einer posttraumatischen Belastungsstörung (PTSD mit Monotraumatisierung) leidet. Diesbezüglich ist festzustellen, dass die Behandlung psychischer Probleme in der Türkei sowohl stationär als auch ambulant möglich ist. Es existieren landesweit psychiatrische Einrichtungen; ebenso stehen Psychopharmaka zur Verfügung. Insbesondere in türkischen Gross- und Provinzhauptstädten ist der Zugang, trotz den neusten politischen Entwicklungen, zu Gesundheitsdiensten und Beratungsstellen sowie Behandlungseinrichtungen für psychische Leiden gewährleistet. Es ist daher davon auszugehen, dass die Beschwerdeführerin, sollte sie eine weitergehende psychiatrische Hilfe in Anspruch nehmen müssen, auch in der Türkei eine adäquate Behandlung erhalten wird. Ihr unbelegter Einwand, nach ihrer Vergewaltigung habe sie keine psychologische Hilfe erhalten, vermag diesen Umstand nicht zu entkräften. Die Vergewaltigung liegt gemäss ihren Angaben bereits (...) Jahre zurück. In diesen Jahren konnte die Türkei ihr Gesundheitssystem flächendeckend verbessern und die Behandlungsmöglichkeiten effizienter machen. Unter Berücksichtigung aller wesentlichen Faktoren ist von der Zumutbarkeit des Vollzugs der Wegweisung auszugehen.</w:t>
      </w:r>
    </w:p>
    <w:p>
      <w:r>
        <w:rPr>
          <w:b/>
        </w:rPr>
        <w:t>E. 6.3</w:t>
      </w:r>
    </w:p>
    <w:p>
      <w:r>
        <w:t>Nach Art. 83 Abs. 2 AuG ist der Vollzug auch als möglich zu bezeichnen, weil es der Beschwerdeführerin obliegt, sich die für eine Rückkehr notwendigen Reisedokumente bei der zuständigen Vertretung ihres Heimatstaats zu beschaffen (Art. 8 Abs. 4 AsylG und dazu BVGE 2008/34 E. 12). Der Vollzug der Wegweisung ist möglich.</w:t>
      </w:r>
    </w:p>
    <w:p>
      <w:r>
        <w:rPr>
          <w:b/>
        </w:rPr>
        <w:t>E. 6.4</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Die gestellten Rechtsbegehren erweisen sich als aussichtslos, weshalb die Gesuche um unentgeltliche Rechtspflege und Beiordnung eines Rechtsbeistandes ungeachtet einer allfälligen prozessualen Bedürftigkeit abzuweisen sind (Art. 65 Abs. 1 VwVG und Art. 110a Abs. 1 Bst. a AsylG).</w:t>
      </w:r>
    </w:p>
    <w:p>
      <w:r>
        <w:rPr>
          <w:b/>
        </w:rPr>
        <w:t>E. 8.2</w:t>
      </w:r>
    </w:p>
    <w:p>
      <w:r>
        <w:t>Bei diesem Ausgang des Verfahrens sind die Kosten von Fr. 750.- (Art. 1-3 des Reglements vom 21. Februar 2008 über die Kosten und Entschädigungen vor dem Bundesverwaltungsgericht [VGKE], SR 173.320.2) der Beschwerdeführerin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