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E-303/2025 vom 19. März 2025</w:t>
      </w:r>
    </w:p>
    <w:p>
      <w:r>
        <w:t>Bundesverwaltungsgericht, 2025-03-19, FR</w:t>
      </w:r>
    </w:p>
    <w:p>
      <w:r>
        <w:rPr>
          <w:b/>
        </w:rPr>
        <w:t xml:space="preserve">Quelle: </w:t>
      </w:r>
      <w:r>
        <w:t>https://mcp.opencaselaw.ch/entscheid/bvger_E-303_2025</w:t>
      </w:r>
    </w:p>
    <w:p>
      <w:r>
        <w:t>FR: TAF E-303/2025 du 19 mars 2025</w:t>
      </w:r>
    </w:p>
    <w:p>
      <w:r>
        <w:t>IT: TAF E-303/2025 del 19 marzo 2025</w:t>
      </w:r>
    </w:p>
    <w:p>
      <w:pPr>
        <w:pStyle w:val="Heading2"/>
      </w:pPr>
      <w:r>
        <w:t>Regeste</w:t>
      </w:r>
    </w:p>
    <w:p>
      <w:r>
        <w:t>Asile et renvoi</w:t>
      </w:r>
    </w:p>
    <w:p>
      <w:pPr>
        <w:pStyle w:val="Heading2"/>
      </w:pPr>
      <w:r>
        <w:t>Erwägungen</w:t>
      </w:r>
    </w:p>
    <w:p>
      <w:r>
        <w:rPr>
          <w:b/>
        </w:rPr>
        <w:t>E. 21</w:t>
      </w:r>
    </w:p>
    <w:p>
      <w:r>
        <w:t>février 2008 concernant les frais, dépens et indemnités fixés par le Tribunal administratif fédéral (FITAF, RS 173.320.2), que ces frais sont couverts par le versement de l’avance de frais de 750 francs,</w:t>
      </w:r>
    </w:p>
    <w:p>
      <w:r>
        <w:t>E-303/2025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