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E-303/2023 vom 24. Januar 2023</w:t>
      </w:r>
    </w:p>
    <w:p>
      <w:r>
        <w:t>Bundesverwaltungsgericht, 2023-01-24, DE</w:t>
      </w:r>
    </w:p>
    <w:p>
      <w:r>
        <w:rPr>
          <w:b/>
        </w:rPr>
        <w:t xml:space="preserve">Quelle: </w:t>
      </w:r>
      <w:r>
        <w:t>https://mcp.opencaselaw.ch/entscheid/bvger_E-303_2023</w:t>
      </w:r>
    </w:p>
    <w:p>
      <w:r>
        <w:t>FR: TAF E-303/2023 du 24 janvier 2023</w:t>
      </w:r>
    </w:p>
    <w:p>
      <w:r>
        <w:t>IT: TAF E-303/2023 del 24 gennaio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Dispositiv-Ziffern 1 bis 4 sowie 7 der angefochtenen Verfügung des SEM vom 12. Januar 2023 werden aufgehoben und die Sache im Sinne der Erwägungen zur weiteren Sachverhaltsabklärung sowie zur Neubeurteilung an die Vorinstanz zurückgewiesen.</w:t>
      </w:r>
    </w:p>
    <w:p>
      <w:r>
        <w:rPr>
          <w:b/>
        </w:rPr>
        <w:t>E. 3</w:t>
      </w:r>
    </w:p>
    <w:p>
      <w:r>
        <w:t>Das Beschwerdeverfahren E-362/2023 betreffend die Anfechtung von Dispositiv-Ziffer 5 der Verfügung des SEM vom 12. Januar 2023 (Eintrag eines neuen Geburtsdatums in ZEMIS) wird separat weitergeführt.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