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E-3032/2015 vom 12. Mai 2016</w:t>
      </w:r>
    </w:p>
    <w:p>
      <w:r>
        <w:t>Bundesverwaltungsgericht, 2016-05-12, FR</w:t>
      </w:r>
    </w:p>
    <w:p>
      <w:r>
        <w:rPr>
          <w:b/>
        </w:rPr>
        <w:t xml:space="preserve">Quelle: </w:t>
      </w:r>
      <w:r>
        <w:t>https://mcp.opencaselaw.ch/entscheid/bvger_E-3032_2015</w:t>
      </w:r>
    </w:p>
    <w:p>
      <w:r>
        <w:t>FR: TAF E-3032/2015 du 12 mai 2016</w:t>
      </w:r>
    </w:p>
    <w:p>
      <w:r>
        <w:t>IT: TAF E-3032/2015 del 12 maggio 2016</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 recourant a qualité pour recourir. Présenté dans la forme et dans les délais prescrits par la loi, le recours est recevable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n'a pas été en mesure de faire apparaître la crédibilité et le sérieux de ses motifs.</w:t>
      </w:r>
    </w:p>
    <w:p>
      <w:r>
        <w:rPr>
          <w:b/>
        </w:rPr>
        <w:t>E. 3.2</w:t>
      </w:r>
    </w:p>
    <w:p>
      <w:r>
        <w:t>En effet, force est de constater que le recourant a fait des événements un récit qui se caractérise par son caractère confus et décousu ; en outre, lors de son audition par le SEM, le 25 juillet 2014, il a constamment tenté d'éluder les questions qui lui étaient posées et ne leur a jamais donné de réponses claires. Ainsi, il n'est pas possible de déterminer, en partant des déclarations de l'intéressé, s'il a travaillé pour la Direction de la coordination et des relations civiles (comme tendrait à l'indiquer la carte de légitimation produite), ou si c'était seulement le cas d'un proche ; ses dires à ce sujet sont contradictoires et d'ailleurs peu compréhensibles. De plus, l'existence de menaces dirigées contre le recourant avant son départ ne sont pas crédibles. Il n'a fourni aucun détail précis à ce sujet. Le Tribunal voit d'ailleurs mal en quoi la publication de messages sur Facebook et la diffusion des opinions de l'intéressé auprès de la jeunesse (d'une façon non spécifiée) auraient pu le mettre en danger de façon urgente. Le reproche fait à l'Autorité palestinienne d'être trop proche du gouvernement israélien est d'ailleurs couramment exprimé dans les médias locaux, et rencontre l'approbation d'une grande partie de l'opinion, si bien qu'il n'est pas en soi susceptible d'exposer ceux qui le reprennent à un risque spécifique. Le recourant n'a d'ailleurs subi aucun désagrément particulier, que ce soit de la part des autorités ou de particuliers. A cela s'ajoute que l'intéressé n'est pas parti de manière pressante, mais seulement deux mois après l'obtention de son visa, de façon régulière, ce qui ne dénote pas l'existence d'un risque immédiat. Il a d'ailleurs attendu deux ans et demi après son arrivée en Suisse pour déposer sa demande, après l'expiration de son autorisation de séjour.</w:t>
      </w:r>
    </w:p>
    <w:p>
      <w:r>
        <w:rPr>
          <w:b/>
        </w:rPr>
        <w:t>E. 3.3</w:t>
      </w:r>
    </w:p>
    <w:p>
      <w:r>
        <w:t>La réalité de menaces sérieuses adressées en Suisse à l'intéressé n'est pas davantage convaincante, dans la mesure où, là encore, il n'en a fourni aucune description claire, restant très vague et allusif à ce sujet (idem, questions 80-82), et refusant même de citer le nom de la personne qui en serait à l'origine (cf. audition du 25 juillet 2014, questions 44-46) ; certaines de ces menaces sont d'ailleurs décrites dans des termes flous et peu réalistes (idem, question 83) Il n'est d'ailleurs pas vraisemblable que de simples messages diffusés sur Facebook depuis la Suisse aient attiré l'attention de l'Autorité palestinienne, au point de lui faire orchestrer des menaces contre le recourant, qui seraient d'ailleurs restées sans aucune suite. Le Tribunal ne voit pas, en outre, en quoi l'article relatif à la mort de E._______, qui aurait été adressé au recourant, constituerait une menace directe ou indirecte contre lui.</w:t>
      </w:r>
    </w:p>
    <w:p>
      <w:r>
        <w:rPr>
          <w:b/>
        </w:rPr>
        <w:t>E. 3.4</w:t>
      </w:r>
    </w:p>
    <w:p>
      <w:r>
        <w:t>Il s'ensuit que le recours, en tant qu'il conteste le refus de l'asile,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83 LEtr (RS 142.20).</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6.5</w:t>
      </w:r>
    </w:p>
    <w:p>
      <w:r>
        <w:t>En l'occurrence, le Tribunal relève que l'intéressé n'a pas rendu hautement vraisemblable un risque de cette nature, dans la mesure où les menaces qu'il aurait reçues, tant avant son départ qu'après son arrivée en Suisse, ne revêtent aucune crédibilité. Dès lors, l'exécution de son renvoi sous forme de refoulement ne transgresse aucun engagement de la Suisse relevant du droit international, de sorte qu'elle s'avère licite (art. 44 LAsi et 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8.1 8.3).</w:t>
      </w:r>
    </w:p>
    <w:p>
      <w:r>
        <w:rPr>
          <w:b/>
        </w:rPr>
        <w:t>E. 7.2</w:t>
      </w:r>
    </w:p>
    <w:p>
      <w:r>
        <w:t>Si la Cisjordanie - y compris Hébron - connaît certes des troubles résultant des tensions opposant la population palestinienne à l'armée et aux colons israéliens, elle ne se trouve cependant pas dans une situation de guerre, de guerre civile ou de violence généralisée qui permettrait d'emblée - et indépendamment des circonstances du cas d'espèce - de présumer, à propos de tous les ressortissants de cette région, l'existence d'une mise en danger concrète au sens de l'art. 83 al. 4 LEtr.</w:t>
      </w:r>
    </w:p>
    <w:p>
      <w:r>
        <w:rPr>
          <w:b/>
        </w:rPr>
        <w:t>E. 7.3</w:t>
      </w:r>
    </w:p>
    <w:p>
      <w:r>
        <w:t>En outre, il ne ressort du dossier aucun élément dont on pourrait inférer que l'exécution du renvoi impliquerait une mise en danger concrète du recourant. A cet égard, l'autorité de céans relève qu'il est jeune, sans charge de famille, au bénéfice d'une formation universitaire et d'une expérience professionnelle dans l'enseignement. S'agissant de son état de santé, le Tribunal rappelle que l'exécution du renvoi des personnes en traitement médical en Suisse ne devient inexigible que dans la mesure où, une fois rentrées, elles pourraient ne plus recevoir les soins essentiels garantissant des conditions minimales d'existence ; par soins essentiels, il faut entendre les soins de médecine générale et d'urgence absolument nécessaires à la garantie de la dignité humaine (cf. . ATAF 2009/2 consid. 9.3.2 p. 21 ; Jurisprudence et informations de la Commission suisse de recours en matière d'asile [JICRA] 2003 n° 24 consid. 5b p. 157 s.). Il n'y a pas en revanche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(cf. JICRA 2003 n° 24 précitée, JICRA 1993 n° 38 p. 274 s.). Si les soins essentiels nécessaires peuvent être assurés dans le pays d'origine ou de provenance de l'étranger concerné, le cas échéant avec d'autres médications que celles prescrites en Suisse, l'exécution du renvoi sera raisonnablement exigible. Dans le cas d'espèce, ainsi que l'a retenu et analysé le SEM, la Cisjordanie en général et la région d'Hébron en particulier - ce qui évitera à l'intéressé les difficultés causées par les restrictions de déplacement - disposent des structures médicales et hospitalières permettant la prise en charge de son traitement, qui consiste en entretiens psychothérapeutiques et prise de médicaments antidépresseurs ; le cas échéant, il pourra lui être alloué une aide au retour personnelle consistant en fourniture de médicaments (art. 93 al. 1 let. d LAsi). Il pourra également recourir à l'aide de ses proches, à savoir ses parents (dont il a mentionné la condition aisée) et dix frères et soeurs, qui tous résident sur place.</w:t>
      </w:r>
    </w:p>
    <w:p>
      <w:r>
        <w:rPr>
          <w:b/>
        </w:rPr>
        <w:t>E. 7.4</w:t>
      </w:r>
    </w:p>
    <w:p>
      <w:r>
        <w:t>Pour ces motifs, l'exécution du renvoi doit être considérée comme raisonnablement exigible.</w:t>
      </w:r>
    </w:p>
    <w:p>
      <w:r>
        <w:rPr>
          <w:b/>
        </w:rPr>
        <w:t>E. 8.1</w:t>
      </w:r>
    </w:p>
    <w:p>
      <w:r>
        <w:t>Enfin, le recourant est en possession d'un passeport délivré par l'autorité palestinienne, le 21 avril 2009, venu à échéance cinq ans plus tard ; il lui appartiendra d'en requérir le renouvellement auprès de la représentation de cette autorité en Suisse. Comme cela ressort des timbres portés dans son passeport, l'intéressé a quitté le territoire de la Cisjordanie par le poste frontière du (...), contrôlé par l'autorité israélienne, le 15 janvier 2010, et a rejoint la Jordanie ; il avait déjà accompli ce trajet en date du 8 juin 2009, avant de retourner en Cisjordanie, le 23 juillet suivant, également par le (...). En conséquence, muni de son passeport valable, il lui sera possible de regagner la Jordanie, puis par la Cisjordanie par le même moyen ; en effet, aucun élément ne permet d'admettre que cette voie de retour ne lui soit plus ouverte.</w:t>
      </w:r>
    </w:p>
    <w:p>
      <w:r>
        <w:rPr>
          <w:b/>
        </w:rPr>
        <w:t>E. 8.2</w:t>
      </w:r>
    </w:p>
    <w:p>
      <w:r>
        <w:t>L'exécution du renvoi ne se heurte donc pas à des obstacles insurmontables d'ordre technique et s'avère également possible (cf. ATAF 2008/34 consid. 12).</w:t>
      </w:r>
    </w:p>
    <w:p>
      <w:r>
        <w:rPr>
          <w:b/>
        </w:rPr>
        <w:t>E. 9</w:t>
      </w:r>
    </w:p>
    <w:p>
      <w:r>
        <w:t>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10</w:t>
      </w:r>
    </w:p>
    <w:p>
      <w:r>
        <w:t>Le Tribunal fait droit à la requête du recourant et admet la requête d'assistance judiciaire partielle, compte tenu de son incapacité à assumer les frais de la procédure et de ce que les conclusions du recours, au moment de leur dépôt, n'apparaissaient pas manifestement vouées à l'échec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