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E-3031/2016 vom 7. Juni 2016</w:t>
      </w:r>
    </w:p>
    <w:p>
      <w:r>
        <w:t>Bundesverwaltungsgericht, 2016-06-07, DE</w:t>
      </w:r>
    </w:p>
    <w:p>
      <w:r>
        <w:rPr>
          <w:b/>
        </w:rPr>
        <w:t xml:space="preserve">Quelle: </w:t>
      </w:r>
      <w:r>
        <w:t>https://mcp.opencaselaw.ch/entscheid/bvger_E-3031_2016</w:t>
      </w:r>
    </w:p>
    <w:p>
      <w:r>
        <w:t>FR: TAF E-3031/2016 du 7 juin 2016</w:t>
      </w:r>
    </w:p>
    <w:p>
      <w:r>
        <w:t>IT: TAF E-3031/2016 del 7 giugno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w:t>
      </w:r>
    </w:p>
    <w:p>
      <w:r>
        <w:t>Die Schlussfolgerungen der Vorinstanz sind weder in tatsächlicher, noch in rechtlicher Hinsicht zu beanstanden. Die Rechtsmitteleingabe erschöpft sich in spärlichen Erklärungsversuchen und in pauschaler Kritik, womit sie nicht aufzeigt, inwiefern die vorinstanzliche Beweiswürdigung Bundesrecht verletzten oder zu einer rechtsfehlerhaften Sachverhaltsfeststellung führen soll. Solches ist auch nicht ersichtlich. So ist weder ein Versäumnis betreffend Prüfung oder Bewertung der vorgelegten Beweismittel und Ausführungen noch eine "verheerende Nachlässigkeit" in der Sachverhaltserhebung zu erkennen (Beschwerde S. 3 und S. 6). Im Übrigen bestätigt die Beschwerde selbst, dass die angebliche Ehefrau des Beschwerdeführers alleine aus Eritrea ausgereist und er ihr über längere Zeit nicht nachgereist ist (Beschwerde S. 3 und S. 5). Somit ist bereits die Tatbestandsvoraussetzung von Art. 51 Abs. 4 AsylG (durch die Flucht getrennt) nicht gegeben und den weiteren Beschwerdeausführungen der Boden entzogen (siehe auch Urteil des BVGer E-4076/2015 vom 6. Juli 2015 E. 3.4). Diese vermögen ohnehin nicht zu überzeugen. Insbesondere ist der Vorinstanz beizupflichten, dass bei Bestehen einer eheähnlichen Gemeinschaft vor der Ausreise aus Eritrea, die angebliche Frau des Beschwerdeführers nicht ohne ihn in hochschwangerem Zustand ausgereist wäre. Sodann soll das Beweismittel Heiratsurkunde von einem Pfarrer im Sudan rückwirkend auf das mutmassliche Datum der Heirat in Eritrea gesetzt und ausgestellt worden sein. Diese Erklärung zeugt jedoch von einem konstruierten Sachverhalt. Vor diesem Hintergrund ist der Vorinstanz darin beizupflichten, dass der Heiratsurkunde nicht der notwendige Beweiswert zukommt. Sodann lassen die Geburtsurkunden - zweier nicht in Eritrea stattgefundenen Geburten - ebenso wenig auf eine Ehe oder eheähnliche Gemeinschaft in Eritrea schliessen. Vorliegend kann ohnehin offen bleiben, ob die Ehe aus rechtlicher Sicht besteht oder nicht, zumal dies am Beweisergebnis nichts zu ändern vermag (BVGE 2012/32 E. 5.4.2 mit Verweisen). Dass der Beschwerdeführer die erste Ehe seiner Frau in der Befragung vom 11. August 2015 antönte, ändert hieran nichts. Im Übrigen ist auf die zutreffenden und ausführlichen Ausführungen der Vorinstanz zu verweisen, die folgerichtig die Erteilung der Einreisebewilligung verweigert und das Gesuch um Einbeziehung in die Flüchtlingseigenschaft abgelehnt hat. Zusammenfassend ergibt sich, dass die angefochtene Verfügung Bundesrecht nicht verletzt. Die Beschwerde ist abzuweisen.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