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E-3030/2024 vom 23. April 2024</w:t>
      </w:r>
    </w:p>
    <w:p>
      <w:r>
        <w:t>Bundesverwaltungsgericht, 2024-04-23, DE</w:t>
      </w:r>
    </w:p>
    <w:p>
      <w:r>
        <w:rPr>
          <w:b/>
        </w:rPr>
        <w:t xml:space="preserve">Quelle: </w:t>
      </w:r>
      <w:r>
        <w:t>https://mcp.opencaselaw.ch/entscheid/bvger_E-3030_2024_d20240423</w:t>
      </w:r>
    </w:p>
    <w:p>
      <w:r>
        <w:t>FR: TAF E-3030/2024 du 23 avril 2024</w:t>
      </w:r>
    </w:p>
    <w:p>
      <w:r>
        <w:t>IT: TAF E-3030/2024 del 23 aprile 2024</w:t>
      </w:r>
    </w:p>
    <w:p>
      <w:pPr>
        <w:pStyle w:val="Heading2"/>
      </w:pPr>
      <w:r>
        <w:t>Regeste</w:t>
      </w:r>
    </w:p>
    <w:p>
      <w:r>
        <w:t>Flughafenverfahren (Asyl und Wegweisung) | Flughafenverfahren (Asyl und Wegweisung); Verfügung des SEM vom 23. April 2024</w:t>
      </w:r>
    </w:p>
    <w:p>
      <w:pPr>
        <w:pStyle w:val="Heading2"/>
      </w:pPr>
      <w:r>
        <w:t>Erwägungen</w:t>
      </w:r>
    </w:p>
    <w:p>
      <w:r>
        <w:rPr>
          <w:b/>
        </w:rPr>
        <w:t>E. 28</w:t>
      </w:r>
    </w:p>
    <w:p>
      <w:r>
        <w:t>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Vollzug unzumutbar ist bei einer konkreten Gefährdung im Hei- mat- oder Herkunftsstaat aufgrund von Situationen wie Krieg, Bürgerkrieg, allgemeiner Gewalt und medizinischer Notlage (Art. 83 Abs. 4 AIG), dass nach konstanter Rechtsprechung in Pakistan keine landesweite Situ- ation allgemeiner Gewalt herrscht, die zur Annahme führen müsste, jede dorthin zurückkehrende Person sei mit erheblicher Wahrscheinlichkeit kon- kret gefährdet (vgl. etwa Urteil des BVGer D-1366/2024 vom 20. März 2024 E. 9.3.2 m.H.), dass der Beschwerdeführer in seiner Rechtsmitteleingabe zudem keine in- dividuellen Vollzugshindernisgründe geltend gemacht hat, dass damit auf die vollumfänglich zutreffenden Ausführungen des SEM in der Verfügung verwiesen werden kann, wonach – abgesehen von den ein bis zwei Jahren, während denen der Beschwerdeführer in der Landwirt- schaft bei seinem Vater tätig gewesen sei – seine Familie für den Lebens- unterhalt des Beschwerdeführers gesorgt habe, wobei ihn zudem ein On- kel im Zusammenhang mit seiner Ausreise finanziell unterstützt habe,</w:t>
      </w:r>
    </w:p>
    <w:p>
      <w:r>
        <w:t>E-3030/2024 Seite 12 dass es ihm folglich zuzumuten ist, sich auch in Zukunft in Pakistan unter Rückgriff auf sein familiäres Netzwerk behaupten zu können, womit nicht davon auszugehen ist, dass er bei einer Rückkehr in eine existenzbedro- hende Notlage geraten würde, dass an dieser Einschätzung auch der Umstand, dass der Beschwerdefüh- rer keine (…) mehr hat, nichts zu ändern vermag, nachdem dieser offen- sichtlich trotz seiner Behinderung in der Lage ist, eigenständig zu leben, er beispielsweise auch im Stande war, eigenständig von Pakistan in die H._______ zu reisen, dort – ohne die Unterstützung seiner in Pakistan le- benden Familie – während eines Monats zu leben sowie anschliessend in die Schweiz zu fliegen, dass ferner gemäss den mit der Beschwerde eingereichten Arztberichten sich der Gesundheitszustand des Beschwerdeführers als stabil erweist, dass das SEM namentlich zu Recht festgehalten hat, dass der Beschwer- deführer im Anschluss an die Amputation ambulant hinreichend medizi- nisch versorgt worden sei, womit auch für den Fall, dass der von ihm an- gegebene Zeitpunkt der Amputation zutreffen sollte, eine Rückkehr nach Pakistan nicht zu einer medizinischen Notlage führen würde, dass das SEM damit auch unter Berücksichtigung des Gesundheitszu- stands des Beschwerdeführers zu Recht zum Schluss gekommen ist, dass der Vollzug der Wegweisung zumutbar ist,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somit die vorinstanzliche Anordnung des Wegweisungsvollzugs zu bestätigen ist, dass nach dem Gesagten die angefochtene Verfügung Bundesrecht nicht verletzt, den rechtserheblichen Sachverhalt richtig und vollständig feststellt (Art. 106 Abs. 1 AsylG) sowie – soweit überprüfbar – angemessen ist, wes- halb die Beschwerde abzuweisen ist, dass mit dem vorliegenden Direktentscheid das Gesuch um Erlass des Kostenvorschusses gegenstandslos geworden ist,</w:t>
      </w:r>
    </w:p>
    <w:p>
      <w:r>
        <w:t>E-3030/2024 Seite 13 dass überdies die Beschwerde in Anbetracht der vorstehenden Erwägun- gen ex ante betrachtet als aussichtslos einzustufen ist, womit die Gesuche um Gewährung der unentgeltlichen Prozessführung sowie um Beiordnung eines amtlichen Rechtsbeistandes – ungeachtet einer allfälligen prozessu- alen Bedürftigkeit des Beschwerdeführers – abzuweisen sind, dass daher die Verfahrenskosten von Fr. 750.– (Art. 1–3 des Reglements vom 21. Februar 2008 über die Kosten und Entschädigungen vor dem Bun- desverwaltungsgericht [VGKE, SR 173.320.2]) dem Beschwerdeführer aufzuerlegen sind (Art. 63 Abs. 1 VwVG). (Dispositiv nächste Seite)</w:t>
      </w:r>
    </w:p>
    <w:p>
      <w:r>
        <w:t>E-3030/2024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