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E-3030/2021 vom 20. Juli 2021</w:t>
      </w:r>
    </w:p>
    <w:p>
      <w:r>
        <w:t>Bundesverwaltungsgericht, 2021-07-20, DE</w:t>
      </w:r>
    </w:p>
    <w:p>
      <w:r>
        <w:rPr>
          <w:b/>
        </w:rPr>
        <w:t xml:space="preserve">Quelle: </w:t>
      </w:r>
      <w:r>
        <w:t>https://mcp.opencaselaw.ch/entscheid/bvger_E-3030_2021</w:t>
      </w:r>
    </w:p>
    <w:p>
      <w:r>
        <w:t>FR: TAF E-3030/2021 du 20 juillet 2021</w:t>
      </w:r>
    </w:p>
    <w:p>
      <w:r>
        <w:t>IT: TAF E-3030/2021 del 20 luglio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1.3</w:t>
      </w:r>
    </w:p>
    <w:p>
      <w:r>
        <w:t>Das Verfahren richtet sich nach dem VwVG, soweit das VGG und das AsylG nichts anderes bestimmen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ihrer Verfügung fest, das Vorbringen, das CID habe die Mutter des Beschwerdeführers im (...) 2020 bedroht, sei bereits Gegenstand des Wiedererwägungsgesuches gewesen; auf die entsprechende Verfügung vom 8. September 2020 und auf das Urteil BVGer E-5057/2020 vom 26. Oktober 2020 könne verwiesen werden. Hinsichtlich des Vorbringens, der Beschwerdeführer sei die rechte Hand des (...) des (...) und werde folglich bei einer Rückkehr in asylrelevanter Weise verfolgt, mache er keine detaillierten Angaben. So sei unklar, wie seine Mitarbeit in dieser Bewegung konkret aussehe, und ob er auch Mitglied sei. Seine angebliche Rolle als (...) der Demonstration vom (...) 2021 bleibe komplett unbelegt. Die weiteren Hinweise auf diverse Internetseiten - wie beispielsweise die (...)-Seite des (...) LTTE-Jugend oder die (...)-Seite eines Kollegen sowie der hinduistischen Kirche in D._______ - seien ohne jeweiligen Kommentar erfolgt. Die blosse Angabe von Links - ohne spezifischen Bezug zu seiner Person - verletze seine erhöhte Mitwirkungspflicht in einem Mehrfachgesuchverfahren, zumal es praxisgemäss nicht Sache der Behörden sei, den Sachverhalt durch Nachverfolgung der Links zu vervollständigen (mit Verweis auf Art. 111c Abs. 1 AsylG). Die als Beweismittel aufgeführten Auszüge aus bekannten Zeitungen in Sri Lanka seien dem Gesuch nicht beigelegt gewesen. Ferner würden sich den eingereichten Fotos der Kundgebung vom (...) 2021 keine Hinweise auf eine besondere Rolle des Beschwerdeführers entnehmen lassen, weshalb das vorgebrachte Interesse der sri-lankischen Behörden an seiner Person zweifelhaft sei. Ferner seien seine Ausführungen, er sei (...) für die LTTE in der Schweiz, nehme an Sitzungen teil und organisiere weitere Kundgebungen, unbelegt und daher völlig haltlos. Das dargelegte Bild eines exilpolitisch hochengagierten Aktivisten stehe insgesamt in massivem Widerspruch zur tatsächlichen Beweislage. Beim Vorbringen, seine Familie werde derzeit vehement bedroht und sei mehrmals entführt worden, handle es sich um eine durch nichts belegte Parteibehauptung, welcher es angesichts der unglaubhaften Verfolgungsvorbringen in den bisherigen Verfahren an einer Grundlage fehle.</w:t>
      </w:r>
    </w:p>
    <w:p>
      <w:r>
        <w:rPr>
          <w:b/>
        </w:rPr>
        <w:t>E. 5.2</w:t>
      </w:r>
    </w:p>
    <w:p>
      <w:r>
        <w:t>Der Beschwerdeführer erinnert in seiner Beschwerde zunächst daran, dass aufgrund seiner exilpolitischen Aktivitäten seine Familie (...) 2020 von Beamten des CID massiv bedroht und seine Mutter ins Spital eingewiesen worden sei. Am (...) 2020 sei er dabei gewesen, als die Petition (...) an eine Vertreterin des Bundesrats übergeben worden sei; am gleichen Tag habe er auch an einer Kundgebung für die (...) Sache teilgenommen. Bezüglich diesen Ereignissen sei die Begründung der Vorinstanz, sie seien bereits Gegenstand früherer Verfahren gewesen, nicht berechtigt. Ferner bekräftigt er, die rechte Hand des (...) (G._______) der tamilischen Bewegung (...), welche von den sri-lankischen Behörden als terroristisch eingestuft worden sei, zu sein. Weil er dessen Projekte unterstütze, drohe ihm bei einer Rückkehr nach Sri Lanka eine asylrelevante Verfolgung. Zusammen mit ihm habe er am (...) 2021 Kundgebungen in Erinnerung an den tamilischen Genozid und das Kriegsende vor zwölf Jahren organisiert. Dabei seien auch tamilische Persönlichkeiten anwesend gewesen, welche in Sri Lanka als Terroristen gesucht seien (mit Hinweis auf Fotos [...]). Nach diesen Aktivitäten habe am (...) 2021 eine Spezialeinheit der sri-lankischen Armee die Familie des Beschwerdeführers bedroht. Es sei offensichtlich, dass dieser aufgrund seiner Verbindungen zu verbotenen Organisationen bei einer Rückkehr nach Sri Lanka gefährdet sei. Die gegenteilige Behauptung des SEM sei stereotyp und unzulässig, zumal die Beweiserhebung für den Beschwerdeführer schwierig sei. Auf den Fotos sei er immer an erster Stelle zu sehen, was auf eine Führungsposition hindeute. Bezüglich den Kundgebungen der ersten Jahreshälfte sei auch darauf hinzuweisen, dass verschiedene europäische Zeitungen und Newsportale darüber berichtet hätten, weshalb dies auch die Behörden in Sri Lanka zur Kenntnis genommen hätten.</w:t>
      </w:r>
    </w:p>
    <w:p>
      <w:r>
        <w:rPr>
          <w:b/>
        </w:rPr>
        <w:t>E. 6</w:t>
      </w:r>
    </w:p>
    <w:p>
      <w:r>
        <w:t>Vorab ist festzustellen, dass der formelle Einwand in der Beschwerde - das SEM habe den Sachverhalt unrichtig und unvollständig festgestellt - offensichtlich unbegründet ist. In der entsprechenden Begründung verkennt der Beschwerdeführer insbesondere, dass ein Mehrfachgesuch gehörig zu begründen ist (Art. 111c Abs. 1 AsylG). Es ist nicht ersichtlich, inwiefern das SEM gehalten gewesen wäre, weitere Abklärungen zu tätigen oder inwiefern es von einem unrichtigen oder unvollständigen Sachverhalt ausgegangen wäre. Bezeichnenderweise folgen auch auf Beschwerdestufe keine konkreteren Ausführungen, obwohl bereits das SEM zutreffend auf die erhöhte Mitwirkungspflicht des Beschwerdeführers hingewiesen hat.</w:t>
      </w:r>
    </w:p>
    <w:p>
      <w:r>
        <w:rPr>
          <w:b/>
        </w:rPr>
        <w:t>E. 7.1</w:t>
      </w:r>
    </w:p>
    <w:p>
      <w:r>
        <w:t>Der Beschwerdeführer beruft sich in seiner Beschwerde im Wesentlichen auf seine exilpolitischen Tätigkeiten in der Schweiz. Weil das CID auf ihn aufmerksam geworden sei, sei seine Familie im (...) 2020 und im (...) 2021 bedroht und geschlagen worden. Sein Leben sei bei einer Rückkehr nach Sri Lanka in flüchtlingsrechtlich relevanter Weise in Gefahr.</w:t>
      </w:r>
    </w:p>
    <w:p>
      <w:r>
        <w:rPr>
          <w:b/>
        </w:rPr>
        <w:t>E. 7.2</w:t>
      </w:r>
    </w:p>
    <w:p>
      <w:r>
        <w:t>Nach einer Überprüfung der Akten schliesst sich das Gericht den zutreffenden Erwägungen des SEM an. Die Einwände in der Beschwerde vermögen offensichtlich nichts zu Gunsten des Beschwerdeführers zu bewirken.</w:t>
      </w:r>
    </w:p>
    <w:p>
      <w:r>
        <w:rPr>
          <w:b/>
        </w:rPr>
        <w:t>E. 7.2.1</w:t>
      </w:r>
    </w:p>
    <w:p>
      <w:r>
        <w:t>Zunächst ist darauf hinzuweisen, dass die vorgebrachte Teilnahme an der Übergabe der Petition und an der Kundgebung für die tamilische Sache vom (...) 2020 in D._______ sowie die angeblichen Behelligungen seiner Familie im (...) 2020 - wie vom SEM zutreffend festgestellt - bereits Gegenstand vergangener Verfahren waren (vgl. Urteil BVGer E-5057/2020 vom 26. Oktober 2020). Auch im nachfolgenden Verfahren wurde wieder darauf Bezug genommen und festgestellt, die entsprechenden politischen Aktivitäten des Beschwerdeführers seien als niederschwellig zu bezeichnen, weshalb nicht von einer begründeten Furcht vor künftiger Verfolgung im Heimatstaat auszugehen sei. Gleichzeitig wurde festgestellt, es sei bis zu diesem Zeitpunkt - in Berücksichtigung der aktuellen Lage in Sri Lanka - auch von keinen Risikofaktoren im Sinne des Referenzurteils BVGer E-1866/2015 vom 15. Juli 2016 auszugehen (vgl. Urteil BVGer E-593/2021 vom 25. Februar 2021 E. 5.2). Auf die Begründung in den entsprechenden Verfahren kann vollumfänglich verwiesen werden.</w:t>
      </w:r>
    </w:p>
    <w:p>
      <w:r>
        <w:rPr>
          <w:b/>
        </w:rPr>
        <w:t>E. 7.2.2</w:t>
      </w:r>
    </w:p>
    <w:p>
      <w:r>
        <w:t>Hinsichtlich des im aktuellen Mehrfachgesuch erstmals eingebrachten Vorbringens, aufgrund seiner Verbindung zum (...) und dessen (...) sei er bei einer Rückkehr einer asylrelevanten Verfolgung ausgesetzt, ist dem SEM zuzustimmen, wenn es erwogen hat, dass eine detaillierte Ausführung zu dieser Verbindung fehlt. Der Beschwerdeführer verkennt ganz offensichtlich, dass Mehrfachgesuche begründet einzureichen sind (vgl. Art. 111c Abs. 1 AsylG). Auch die diesbezügliche Erwägung in der angefochtenen Verfügung veranlasste ihn nicht, auf Beschwerdeebene substanziiertere Ausführungen dazu zu machen, inwiefern er für das (...) respektive für dessen (...) tätig sei und welche Position er innerhalb dieser Bewegung innehabe, geschweige denn, dies zu belegen. Aus der «The Gazette of the Democratic Socialist Republic of Sri Lanka» vom (...) 2021 geht lediglich hervor, dass die Liste der designierten Personen bezüglich der «Regulation 4(7) of the United Nations Regulations No. 1 of 2012» erweitert worden sei. Diese Liste «of designated persons and entities» enthält Namen von Organisationen, die verboten, und von Personen, die gesucht sind (vgl. Staatssekretariat für Migration [SEM], Notiz Sri Lanka, Lagefortschreibung vom 7. Februar 2020, S. 16). Dabei wird auf der Personenliste auch G._______, wohnhaft in I._______, genannt. Daraus alleine lässt sich offensichtlich keine Verbindung zum Beschwerdeführer respektive zu dessen exilpolitischer Tätigkeit herstellen.</w:t>
      </w:r>
    </w:p>
    <w:p>
      <w:r>
        <w:rPr>
          <w:b/>
        </w:rPr>
        <w:t>E. 7.2.3</w:t>
      </w:r>
    </w:p>
    <w:p>
      <w:r>
        <w:t>Das Vorbringen, der Beschwerdeführer habe am (...) 2021 eine Kundgebung in F._______ in Zusammenarbeit mit G._______ organisiert, bleibt auf Beschwerdeebene ebenso unbelegt, wie bereits im erstinstanzlichen Verfahren, obwohl das SEM auch dies bereits moniert und festgestellt hat, es ergebe sich deshalb daraus kein relevantes politisches Profil des Beschwerdeführers. Die diesbezüglich eingereichten Fotos, auf welchen er in der ersten Reihe stehe, lassen klarerweise noch nicht auf eine besondere Rolle des Beschwerdeführers schliessen.</w:t>
      </w:r>
    </w:p>
    <w:p>
      <w:r>
        <w:rPr>
          <w:b/>
        </w:rPr>
        <w:t>E. 7.2.4</w:t>
      </w:r>
    </w:p>
    <w:p>
      <w:r>
        <w:t>Am 18. Mai 2021 fand in Bern in Erinnerung des «Mullivaikal Genocide» eine Kundgebung statt (vgl. «Swiss Tamil commemorate Tamil Genocide Day», Tamil Guardian vom 20. Mai 2021 [Swiss Tamils commemorate Tamil Genocide Day | Tamil Guardian, besucht am 12. Juli 2021]). Der Beschwerde liegen dazu diverse Beweismittel bei (vgl. Sachverhalt Bst. G). Daraus lässt sich jedoch nicht entnehmen, inwiefern sich der Beschwerdeführer exilpolitisch in der Schweiz engagiert, und dass von einem relevanten exilpolitischen Engagement auszugehen wäre. Auch auf den Fotos ([...]) lässt sich nicht erkennen, ob der Beschwerdeführer an dieser Kundgebung teilgenommen, oder was er dabei Kundgebung sonst für eine Rolle gespielt hat. Auch die auf einem Memorystick eingereichten Videos belegen keine politischen Aktivitäten des Beschwerdeführers.</w:t>
      </w:r>
    </w:p>
    <w:p>
      <w:r>
        <w:rPr>
          <w:b/>
        </w:rPr>
        <w:t>E. 7.2.5</w:t>
      </w:r>
    </w:p>
    <w:p>
      <w:r>
        <w:t>Schliesslich vermag er auch aus dem generellen Hinweis in der Beschwerde, es hätten in der ersten Jahreshälfte verschiedene Kundgebungen in der Schweiz stattgefunden (vgl. Beschwerde S. 8 f.), wie auch aus den allgemeinen Ausführungen zu den LTTE (vgl. Beschwerde S. 9) nichts zu seinen Gunsten abzuleiten, zumal damit weder eine Teilnahme des Beschwerdeführers an diesen Demonstrationen noch sein Vorbringen, er sei ein grosser politischer Akteur respektive (...) der LTTE belegt wird.</w:t>
      </w:r>
    </w:p>
    <w:p>
      <w:r>
        <w:rPr>
          <w:b/>
        </w:rPr>
        <w:t>E. 7.3</w:t>
      </w:r>
    </w:p>
    <w:p>
      <w:r>
        <w:t>Zusammenfassend ist der Beschwerdeführer auf der politischen Bühne in der Schweiz kaum in Erscheinung getreten. Auch im heutigen Zeitpunkt ist nicht von einem eigentlichen politischen Profil, geschweige denn von einem flüchtlingsrechtlich relevanten, auszugehen. Der Beschwerdeführer hatte noch an der Anhörung vom 3. Februar 2020 angegeben, er sei in Sri Lanka nie für die LTTE tätig gewesen (A15 F114). Die Erwägungen des SEM in der angefochtenen Verfügung sind in jeder Hinsicht zutreffend und die Beschwerdeausführungen - die sich nicht in substanziierter Weise mit der Argumentation der Vorinstanz auseinandersetzen, sondern die Vorbringen im Wesentlichen wiederholen - sind nicht geeignet, zu einer anderen Einschätzung zu führen. Soweit er im Übrigen geltend macht, sein exilpolitisches Engagement habe Behelligungen und Entführungen seiner Familie in Sri Lanka zur Folge, ist auch diesbezüglich auf die Erwägungen des SEM zu verweisen, wonach es sich dabei um eine reine Parteibehauptung handle. Nach dem Gesagten ist auch im heutigen Zeitpunkt nicht von Risikofaktoren im Sinne des Referenzurteils des BVGer E-1866/2015 vom 15. Juli 2016 auszugehen. Das SEM hat zu Recht die Flüchtlingseigenschaft im Sinne von Art. 3 AsylG verneint und das Mehrfachgesuch des Beschwerdeführers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Referenzurteil des BVGer E-1866/2015 vom 15. Juli 2016). Nachdem der Beschwerdeführer nicht darlegen konnte, dass er bei einer Rückkehr nach Sri Lanka befürchten müsste, die Aufmerksamkeit der sri-lankischen Behörden in einem flüchtlingsrechtlich relevanten Ausmass auf sich zu ziehen (vgl. E. 6), bestehen auch keine Anhaltspunkte dafür, ihm würde aus demselben Grund eine menschenrechtswidrige Behandlung in seinem Heimatstaat drohen. Alleine aus seiner tamilischen Ethnie und dem Umstand, dass er nach eineinhalbjähriger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Daran vermögen der Regierungswechsel vom November 2019 sowie die seitherigen Entwicklungen in Sri Lanka nichts zu ändern (vgl. statt vieler Urteil des BVGer E-4915/2020 vom 14. Januar 2021 E. 6.10). Der Vollzug der Wegweisung des Beschwerdeführers erweist sich demzufolge weiterhin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geht auch heute nicht von einer Situation allgemeiner Gewalt in Sri Lanka aus (vgl. statt vieler das bereits erwähnte Urteil E-4915/2020 E. 8.3.2 mit Hinweisen). Der Beschwerdeführer stammt sodann aus dem District Jaffna. Dort leben neben seiner Mutter (...) Geschwister (A15 F69 ff.) und es ist von einer gesicherten Wohnsituation auszugehen, zumal die Mutter in ihrem eigenen Haus lebe (A15 F81). Ausserdem besteht die Möglichkeit, einer Erwerbstätigkeit nachzugehen, denn auch vor seiner Ausreise war er als (...) tätig (A15 F24 und 26 ff.). Die individuellen Zumutbarkeitskriterien wurden noch im erst vor kurzem abgeschlossenen Verfahren E-593/2020 geprüft (vgl. ebd. E. 7.3). Auf diese Erwägungen kann verwiesen werden. Mit dem pauschalen Vorbringen in seinem Mehrfachgesuch, das SEM kenne seine gesundheitlichen Probleme sehr wohl und seine Eltern seien alt und krank und könnten ihm den von ihm benötigten Halt nicht geben und seine weiteren Angehörigen seien jünger als er und könnten ihn deshalb finanziell nicht unterstützen vermag er offensichtlich nichts anderes zu bewirken. Bezeichnenderweise bringt er diesbezüglich auf Beschwerdeebene gar nichts mehr vor. Auch aus den Folgen des Regierungswechsels vom November 2019 ergeben sich - nach wie vor - keine Hinweise individueller Art auf eine konkrete Gefährdung des Beschwerdeführers. Das SEM hat folglich auch die Zumutbarkeit des Wegweisungsvollzugs zu Recht bejaht.</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In der Beschwerdeschrift wurde die Gewährung der unentgeltlichen Prozessführung beantragt. Aus den vorstehenden Erwägungen ergibt sich, dass die Begehren als zum vornherein aussichtslos zu erachten sind. Damit ist eine der kumulativ zu erfüllenden Voraussetzungen für die Gewährung der unentgeltlichen Prozessführung im Sinne von Art. 65 Abs. 1 VwVG nicht gegeben, weshalb das entsprechende Gesuch abzulehnen ist.</w:t>
      </w:r>
    </w:p>
    <w:p>
      <w:r>
        <w:rPr>
          <w:b/>
        </w:rPr>
        <w:t>E. 11.2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rPr>
          <w:b/>
        </w:rPr>
        <w:t>E. 11.3</w:t>
      </w:r>
    </w:p>
    <w:p>
      <w:r>
        <w:t>Mit dem vorliegenden Urteil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