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E-3029/2019 vom 25. Juni 2019</w:t>
      </w:r>
    </w:p>
    <w:p>
      <w:r>
        <w:t>Bundesverwaltungsgericht, 2019-06-25, DE</w:t>
      </w:r>
    </w:p>
    <w:p>
      <w:r>
        <w:rPr>
          <w:b/>
        </w:rPr>
        <w:t xml:space="preserve">Quelle: </w:t>
      </w:r>
      <w:r>
        <w:t>https://mcp.opencaselaw.ch/entscheid/bvger_E-3029_2019</w:t>
      </w:r>
    </w:p>
    <w:p>
      <w:r>
        <w:t>FR: TAF E-3029/2019 du 25 juin 2019</w:t>
      </w:r>
    </w:p>
    <w:p>
      <w:r>
        <w:t>IT: TAF E-3029/2019 del 25 giugno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In der Beschwerde wird zunächst geltend gemacht, die Vorinstanz habe den rechtserheblichen Sachverhalt unvollständig und unrichtig abgeklärt, indem sie sich nicht mit sämtlichen (neuen) Vorbringen des Beschwerdeführers auseinandergesetzt habe. Damit liege eine Verletzung des rechtlichen Gehörs nach Art. 29 VwVG sowie eine Verletzung von Art. 12 VwVG vor. Diese formelle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 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Die Rüge des Beschwerdeführers, das SEM habe den Sachverhalt nicht korrekt und vollständig festgestellt, indem es die aktuelle sicherheitspolitische Lage nicht umfassend, unter Einbezug von Medienberichten, geprüft habe, geht fehl. Das SEM hat sich im Sachverhalt und in den Erwägungen mit den eingereichten Beweismitteln sowie den vom Beschwerdeführer vorgebrachten Sachverhaltselementen auseinandergesetzt und diese vor dem Hintergrund der aktuellen Lage in Sri Lanka gewürdigt. Allein der Umstand, dass das SEM aus sachlichen Gründen zu einer anderen Würdigung der Vorbringen und zu einer anderen Lageeinschätzung in Bezug auf Sri Lanka gelangt, als vom Beschwerdeführer verlangt, spricht nicht für eine ungenügende Sachverhaltsfeststellung. Soweit sich der Beschwerdeführer auf Berichte der Schweizerischen Flüchtlingshilfe (SFH) vom 12. Januar 2018 und 18. Dezember 2016 sowie den Entscheid des Bundesverwaltungsgerichts E-1866/2015 vom 15. Juli 2016 stützt und sich damit auf die seit dem Herbst 2018 verschärfte Gefährdungslage für Tamilen beruft, kann einerseits festgehalten werden, dass der Beschwerdeführer die Frage der Feststellung des Sachverhalts mit der Frage der rechtlichen Würdigung vermengt. Andererseits handelt es sich bei den Berichten der SFH um Beweismittel, die bereits im Rahmen des ersten Beschwerdeverfahrens hätten eingereicht werden können beziehungsweise, soweit es den Bericht der SFH vom 18. Dezember 2016 betrifft, bereits in das erste Beschwerdeverfahren Einzug gefunden hat.</w:t>
      </w:r>
    </w:p>
    <w:p>
      <w:r>
        <w:rPr>
          <w:b/>
        </w:rPr>
        <w:t>E. 5.4</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Zur materiellen Qualifizierung des vorliegenden Gesuchs ist Folgendes festzustellen: Ein Wiedererwägungsgesuch liegt vor, wenn geltend gemacht wird, dass sich der rechtserhebliche Sachverhalt seit dem Urteil der mit einer Beschwerde angerufenen Rechtsmittelinstanz in erheblicher Weise verändert hat. Ersucht wird um Anpassung der ursprünglich fehlerfreien Verfügung des SEM an die nachträglich eingetretene Veränderung der Sachlage. Die Abgrenzung des Wiedererwägungsgesuchs zum zweiten Asyl- bzw. Mehrfachgesuch (Art. 111c AsylG) richtet sich danach, welcher Teil der ursprünglichen Verfügung neu zu beurteilen beantragt wird. Bezieht sich die Veränderung der Sachlage auf Wegweisungsvollzugshindernisse (Zulässigkeit, Zumutbarkeit und Möglichkeit des Wegweisungsvollzuges), liegt ein Wiedererwägungsgesuch nach Art. 111b AsylG vor. Wird hingegen eine Veränderung der Sachlage in Bezug auf die Flüchtlingseigenschaft und das Asyl geltend gemacht, die nach Rechtskraft des Asylentscheids eingetreten ist, so handelt es sich um ein neues Asylgesuch nach Art. 111c AsylG.</w:t>
      </w:r>
    </w:p>
    <w:p>
      <w:r>
        <w:rPr>
          <w:b/>
        </w:rPr>
        <w:t>E. 6.2</w:t>
      </w:r>
    </w:p>
    <w:p>
      <w:r>
        <w:t>Sofern der Beschwerdeführer in der Beschwerde beantragt, die Verfügung vom 17. Mai 2019 sei aufzuheben und ihm sei in Anerkennung seiner Flüchtlingseigenschaft Asyl in der Schweiz zu gewähren, handelt es sich um ein Mehrfachgesuch und nicht - wie vom Beschwerdeführer respektive dessen ehemaligen Rechtsvertreter angenommen - um Wiedererwägungsgründe. Nachdem das SEM eine materiell-rechtliche Auseinandersetzung mit diesem Vorbringen geführt hat, ist dem Beschwerdeführer kein Nachteil entstanden. In diesem Zusammenhang ist darauf hinzuweisen, dass mit Verfügung vom 22. Januar 2019, bestätigt durch das Urteil des Bundesverwaltungsgerichts E-939/2019 vom 22. März 2019, rechtskräftig festgestellt wurde, dass der Beschwerdeführer die Flüchtlingseigenschaft nicht erfüllt. Bei der Begründung seines Gesuchs und der vorliegenden Beschwerde handelt es sich im Wesentlichen um eine Wiedergabe der Vorfluchtgründe, welche bereits geltend gemacht und für unglaubhaft beziehungsweise nicht asylrelevant befunden wurden (Verfügung vom 22. Januar 2019 S. 3 f.; Urteil des Bundesverwaltungsgerichts E-939/2019 vom 22. März 2019 E. 7). Soweit vorliegend eine Neubeurteilung eines bereits beurteilten Sachverhalts im Rahmen eines erneuten Verfahrens angestrebt wird, ist darauf nicht weiter einzugehen.</w:t>
      </w:r>
    </w:p>
    <w:p>
      <w:r>
        <w:rPr>
          <w:b/>
        </w:rPr>
        <w:t>E. 6.3</w:t>
      </w:r>
    </w:p>
    <w:p>
      <w:r>
        <w:t>Soweit der Beschwerdeführer eine allgemeine Gefährdungslage für nach Sri Lanka zurückkehrende tamilische Asylsuchende geltend macht, kann auf die Erwägungen im Urteil des Bundesverwaltungsgerichts E-939/2019 vom 22. März 2019 verwiesen werden. Unter Berücksichtigung des Urteils E-1866/2015 vom 15. Juli 2016 wurde dabei festgehalten, dass der Beschwerdeführer keine asylrelevante Verfolgungssituation habe glaubhaft machen können und dass er, ausser seiner tamilischen Ethnie und der zweieinhalbjährigen Landesabwesenheit, keine der Risikofaktoren erfülle (a.a.O. E. 7). Der Beschwerdeführer bringt im vorliegenden ausserordentlichen Verfahren nichts vor, was an dieser Einschätzung etwas zu ändern vermag. Insbesondere macht er mit seinem lediglich pauschalen Verweis auf die Verhängung des Ausnahmezustandes und die damit einhergehende Möglichkeit der sri-lankischen Behörden, willkürliche Massnahmen vorzunehmen, keine ihn individuell und konkret drohenden Verfolgungshandlungen geltend.</w:t>
      </w:r>
    </w:p>
    <w:p>
      <w:r>
        <w:rPr>
          <w:b/>
        </w:rPr>
        <w:t>E. 6.4</w:t>
      </w:r>
    </w:p>
    <w:p>
      <w:r>
        <w:t>Sofern der Beschwerdeführer sich auf die aktuelle Sicherheitslage nach den Anschlägen am 21. April 2019 beruft, und ausführt, die sri-lankischen Behörden seien nicht in der Lage, die Bevölkerung vor neuerlichen terroristischen Anschlägen zu schützen, beruft er sich auf das Vorliegen von Wegweisungshindernissen, welche zumindest von der Qualifizierung her richtigerweise im Rahmen eines Wiedererwägungsverfahrens geltend zu machen waren. Die aktuelle Lage in Sri Lanka ist zwar als volatil und zweifellos auch als angespannt zu beurteilen, jedoch ist aufgrund dessen nicht auf eine generell erhöhte Gefährdung von zurückkehrenden tamilischen Staatsangehörigen zu schliessen, die für die Frage des Wegweisungsvollzuges, namentlich unter dem Aspekt von Art. 3 EMRK, relevant sein könnten. Diesbezüglich ist auf die vorinstanzlichen Erwägungen zu verweisen. Im Übrigen werden weder im Wiedererwägungsgesuch noch in der Beschwerde nachträglich entstandene, nicht im ordentlichen Verfahren bereits überprüfte, Gründe vorgebracht, die einem Wegweisungsvollzug nach Sri Lanka entgegenstehen könnten. Daran vermögen auch die drei als Beweismittel eingereichten (Online-)-Medienberichte, die keinerlei Bezug zum Beschwerdeführer aufweisen, nichts zu ändern.</w:t>
      </w:r>
    </w:p>
    <w:p>
      <w:r>
        <w:rPr>
          <w:b/>
        </w:rPr>
        <w:t>E. 7</w:t>
      </w:r>
    </w:p>
    <w:p>
      <w:r>
        <w:t>Insgesamt konnte der Beschwerdeführer keine nach dem rechtskräftigen Abschluss seines ordentlichen Asylverfahrens entstandenen Gründe geltend machen, die in Bezug auf seine Flüchtlingseigenschaft oder den Wegweisungsvollzug zu einer anderen Würdigung führen könnten. 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Urteil werden die Anträge auf Erteilung der aufschiebenden Wirkung sowie auf Anweisung des kantonalen Migrationsamts, von Vollzugsmassnahmen abzusehen, gegenstandslos.</w:t>
      </w:r>
    </w:p>
    <w:p>
      <w:r>
        <w:rPr>
          <w:b/>
        </w:rPr>
        <w:t>E. 8.2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