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E-3028/2014 vom 26. Juni 2014</w:t>
      </w:r>
    </w:p>
    <w:p>
      <w:r>
        <w:t>Bundesverwaltungsgericht, 2014-06-26, DE</w:t>
      </w:r>
    </w:p>
    <w:p>
      <w:r>
        <w:rPr>
          <w:b/>
        </w:rPr>
        <w:t xml:space="preserve">Quelle: </w:t>
      </w:r>
      <w:r>
        <w:t>https://mcp.opencaselaw.ch/entscheid/bvger_E-3028_2014</w:t>
      </w:r>
    </w:p>
    <w:p>
      <w:r>
        <w:t>FR: TAF E-3028/2014 du 26 juin 2014</w:t>
      </w:r>
    </w:p>
    <w:p>
      <w:r>
        <w:t>IT: TAF E-3028/2014 del 26 giugno 2014</w:t>
      </w:r>
    </w:p>
    <w:p>
      <w:pPr>
        <w:pStyle w:val="Heading2"/>
      </w:pPr>
      <w:r>
        <w:t>Regeste</w:t>
      </w:r>
    </w:p>
    <w:p>
      <w:r>
        <w:t>Asylverfahren (Übriges)</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Asylgesetz [AsylG, SR 142.31]).</w:t>
      </w:r>
    </w:p>
    <w:p>
      <w:r>
        <w:rPr>
          <w:b/>
        </w:rPr>
        <w:t>E. 1.2</w:t>
      </w:r>
    </w:p>
    <w:p>
      <w:r>
        <w:t>Beim Entscheid über die Zuweisung einer asylsuchenden Person an einen Kanton gemäss Art. 27 Abs. 3 AsylG handelt es sich um eine beim Bundesverwaltungsgericht selbstständig anfechtbare Zwischenverfügung (Art. 107 Abs. 1 AsylG).</w:t>
      </w:r>
    </w:p>
    <w:p>
      <w:r>
        <w:rPr>
          <w:b/>
        </w:rPr>
        <w:t>E. 1.3</w:t>
      </w:r>
    </w:p>
    <w:p>
      <w:r>
        <w:t>Die Beschwerdeführerin ist als Verfügungsadressatin zur Beschwerdeführung legitimiert (Art. 48 VwVG). Auf die frist- und formgerecht eingereichte Beschwerde ist einzutreten. (Art. 108 Abs. 1 AsylG und Art. 52 VwVG).</w:t>
      </w:r>
    </w:p>
    <w:p>
      <w:r>
        <w:rPr>
          <w:b/>
        </w:rPr>
        <w:t>E. 2</w:t>
      </w:r>
    </w:p>
    <w:p>
      <w:r>
        <w:t>Mit Beschwerde kann die Verletzung von Bundesrecht, einschliesslich Missbrauch und Überschreitung des Ermessens sowie die unrichtige und unvollständige Feststellung des rechtserheblichen Sachverhaltes gerügt werden (Art. 106 Abs. 1 AsylG).</w:t>
      </w:r>
    </w:p>
    <w:p>
      <w:r>
        <w:rPr>
          <w:b/>
        </w:rPr>
        <w:t>E. 3</w:t>
      </w:r>
    </w:p>
    <w:p>
      <w:r>
        <w:t>Die Beschwerde erweist sich als offensichtlich unbegründet und ist im Verfahren einzelrichterlicher Zuständigkeit mit Zustimmung eines zweiten Richters oder einer zweiten Richterin (Art. 111 Bst. e AsylG) ohne Weiterungen und mit summarischer Begründung zu behandeln (Art. 111a Abs. 1 und 2 AsylG). 4.1 Gemäss Art. 27 Abs. 3 letzter Satz AsylG, welcher als lex specialis der allgemeinen Regel von Art. 106 Abs. 1 AsylG vorgeht (Art. 106 Abs. 2 AsylG), kann der Zuweisungsentscheid nur mit der Begründung angefochten werden, er verletze den Grundsatz der Einheit der Familie. 4.2 Auf den Schutz von Art. 8 EMRK können sich neben den Mitgliedern der Kernfamilie - Ehegatten und ihre minderjährigen Kinder - auch weitere nahe Angehörige wie Onkel/Tante und Neffe/Nichte berufen, sofern eine nahe, echte und tatsächlich gelebte Beziehung unter ihnen besteht. Gemäss bundesgerichtlicher Rechtsprechung setzt eine über die eigentliche Kernfamilie hinausgehende schützenswerte verwandtschaftliche Beziehung voraus, dass zwischen diesen Personen ein besonderes Abhängigkeitsverhältnis besteht (vgl. BVGE 2008/47 E. 4.1.1). 5.1 Die volljährige Beschwerdeführerin setzt sich mit der Begründung ihres Ersuchens um Kantonswechsel nicht stichhaltig auseinander und zeigt auch nicht auf, inwiefern der Grundsatz der Einheit der Familie verletzt sein soll. Solches ist auch nicht zu ersehen, da die Beziehung der Beschwerdeführerin zu ihrem Bruder nicht unter den Begriff der Kernfamilie fällt und auch kein besonderes Abhängigkeitsverhältnis zwischen ihnen besteht. Der Wunsch, in der Nähe des Bruders zu wohnen und insoweit von dessen Hilfe und (psychischer) Unterstützung profitieren zu können, ist zwar verständlich, stellt aber keinen Grund für einen Kantonswechsel dar. Angesichts der geographischen Nähe ist es der Beschwerdeführerin auch ohne Kantonswechsel durchaus möglich, per Telefon oder in Form von gelegentlichen Besuchen Kontakt mit ihrem Bruder zu pflegen und nötigenfalls dessen Hilfe in Anspruch zu nehmen. 5.2 Nach dem Gesagten ist festzustellen, dass die Verweigerung des Kantonswechsels der Beschwerdeführerin den Grundsatz der Einheit der Familie im Sinne von Art. 8 EMRK nicht verletzt, das Kantonswechselgesuch vom BFM zu Recht abgewiesen wurde und die Beschwerde demnach abzuweisen ist.</w:t>
      </w:r>
    </w:p>
    <w:p>
      <w:r>
        <w:rPr>
          <w:b/>
        </w:rPr>
        <w:t>E. 6</w:t>
      </w:r>
    </w:p>
    <w:p>
      <w:r>
        <w:t>Bei diesem Ausgang des Verfahrens sind die Kosten der Beschwerdeführerin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