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E-3023/2024 vom 16. Januar 2024</w:t>
      </w:r>
    </w:p>
    <w:p>
      <w:r>
        <w:t>Bundesverwaltungsgericht, 2024-01-16, DE</w:t>
      </w:r>
    </w:p>
    <w:p>
      <w:r>
        <w:rPr>
          <w:b/>
        </w:rPr>
        <w:t xml:space="preserve">Quelle: </w:t>
      </w:r>
      <w:r>
        <w:t>https://mcp.opencaselaw.ch/entscheid/bvger_E-3023_2024_d20240116</w:t>
      </w:r>
    </w:p>
    <w:p>
      <w:r>
        <w:t>FR: TAF E-3023/2024 du 16 janvier 2024</w:t>
      </w:r>
    </w:p>
    <w:p>
      <w:r>
        <w:t>IT: TAF E-3023/2024 del 16 gennaio 2024</w:t>
      </w:r>
    </w:p>
    <w:p>
      <w:pPr>
        <w:pStyle w:val="Heading2"/>
      </w:pPr>
      <w:r>
        <w:t>Regeste</w:t>
      </w:r>
    </w:p>
    <w:p>
      <w:r>
        <w:t>Verweigerung vor&amp;uuml;bergehender Schutz | Verweigerung vorübergehender Schutz; Verfügung des SEM vom 16. Januar 2024</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72 i.V.m. 105 AsylG [SR 142.31]).</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105 AsylG i.V.m. Art. 48 Abs. 1 VwVG). Auf die frist- und formgerecht einge- reichte Beschwerde ist einzutreten (Art. 105 AsylG; Art. 72 i.V.m. Art. 108 Abs. 6 AsylG und Art. 52 Abs. 1 VwVG).</w:t>
      </w:r>
    </w:p>
    <w:p>
      <w:r>
        <w:rPr>
          <w:b/>
        </w:rPr>
        <w:t>E. 2</w:t>
      </w:r>
    </w:p>
    <w:p>
      <w:r>
        <w:t>Die Kognition des Bundesverwaltungsgerichts und die zulässigen Rügen richten sich, soweit die Verweigerung vorübergehenden Schutzes betref- fend, nach Art. 106 Abs. 1 AsylG (i.V.m. Art. 72 AsylG).</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w:t>
      </w:r>
    </w:p>
    <w:p>
      <w:r>
        <w:rPr>
          <w:b/>
        </w:rPr>
        <w:t>E. 4</w:t>
      </w:r>
    </w:p>
    <w:p>
      <w:r>
        <w:t>Die Beschwerdeführerin rügt eine Verletzung des rechtlichen Gehörs und eine ungenügende Sachverhaltsfeststellung. Diese formellen Rügen sind</w:t>
      </w:r>
    </w:p>
    <w:p>
      <w:r>
        <w:t>E-3023/2024 Seite 5 vorab zu beurteilen, da sie geeignet sein könnten, eine Kassation der vo- rinstanzlichen Verfügung zu bewirken.</w:t>
      </w:r>
    </w:p>
    <w:p>
      <w:r>
        <w:rPr>
          <w:b/>
        </w:rPr>
        <w:t>E. 4.1.1</w:t>
      </w:r>
    </w:p>
    <w:p>
      <w:r>
        <w:t>Die Beschwerdeführerin macht in ihrer Rechtsmitteleingabe geltend, ihr sei das Schreiben zur Gewährung des rechtlichen Gehörs vom 4. Ja- nuar 2024 nie zugestellt worden, weshalb sie oder ihre Rechtsvertreterin nicht hätten darauf antworten können.</w:t>
      </w:r>
    </w:p>
    <w:p>
      <w:r>
        <w:rPr>
          <w:b/>
        </w:rPr>
        <w:t>E. 4.1.2</w:t>
      </w:r>
    </w:p>
    <w:p>
      <w:r>
        <w:t>Dagegen hält die Vorinstanz in ihrer Vernehmlassung fest, dass sich weder aus dem Kurzgespräch mit der Beschwerdeführerin noch in den Ak- ten Hinweise ergeben würden, die auf einen Verzicht der Beschwerdefüh- rerin auf ihre zugewiesene Rechtsvertretung schliessen liessen. Die zuge- wiesene Rechtsvertretung habe den Empfang des Schreibens zur Gewäh- rung des rechtlichen Gehörs bestätigt und der Vorinstanz nicht mitgeteilt, dass das Mandat nicht mehr bestehe. Die fristgerechte Stellungnahme habe in der Verantwortung der Rechtsvertretung gelegen. Auch führe die Beschwerdeführerin in ihrer Beschwerde aus, dass weder sie noch ihr An- walt auf das Schreiben hätten antworten können. Aus den Akten gehe je- doch nicht hervor, dass die Beschwerdeführerin eine externe Rechtsver- tretung geltend mache. Schliesslich habe die Vorinstanz nach einer Ad- ressenrecherche das fragliche Schreiben an die ermittelte Adresse gesen- det und dem «Leistungserbringer Rechtsschutz» persönlich ausgehändigt, weshalb keine Gehörsverletzung und kein Eröffnungsmangel vorlägen. Auch sei der Beschwerdeführerin hieraus kein Nachteil erwachsen.</w:t>
      </w:r>
    </w:p>
    <w:p>
      <w:r>
        <w:rPr>
          <w:b/>
        </w:rPr>
        <w:t>E. 4.1.3</w:t>
      </w:r>
    </w:p>
    <w:p>
      <w:r>
        <w:t>Replikweise wendet die Beschwerdeführerin im Wesentlichen dage- gen ein, sie könne nicht die Verantwortung für eine Rechtsvertretung tra- gen, die ihr keine Dokumente übermittelt und nicht richtig mit ihr kommuni- ziert habe. Ihr sei somit das Recht auf ein faires Verfahren verweigert wor- den. Sie habe ihre Rechtsvertretung nicht ausgewählt und nicht gewusst, dass die gesamte Korrespondenz an diese gehe. Auch habe die Vorinstanz das rechtliche Gehör verletzt, indem sie das Schreiben zur Gewährung des rechtlichen Gehörs nicht persönlich ausgehändigt habe.</w:t>
      </w:r>
    </w:p>
    <w:p>
      <w:r>
        <w:rPr>
          <w:b/>
        </w:rPr>
        <w:t>E. 4.2</w:t>
      </w:r>
    </w:p>
    <w:p>
      <w:r>
        <w:t>Vorab ist festzustellen, dass die Vorinstanz ihr Schreiben vom 4. Ja- nuar 2024 betreffend Gewährung des rechtlichen Gehörs tatsächlich dem «Leistungserbringer Rechtsschutz Bundesasylzentrum (BAZ) D._______» zugestellt hat. Art. 102h Abs. 2 AsylG (i.V.m. Art. 72 AsylG) sieht vor, dass jeder asylsuchenden Person ab Beginn der Vorbereitungsphase und für das weitere Asylverfahren im BAZ eine Rechtsvertretung zugeteilt wird,</w:t>
      </w:r>
    </w:p>
    <w:p>
      <w:r>
        <w:t>E-3023/2024 Seite 6 sofern die asylsuchende Person nicht ausdrücklich darauf verzichtet; die Unterzeichnung einer Vollmacht für das Vertretungsverhältnis ist im erstin- stanzlichen Verfahren nicht konstitutiv (vgl. Urteil des BVGer D-4724/2024 vom 6. August 2024 E. 7.2.1). Nachdem die Beschwerdeführerin nicht er- klärt hat, auf die ihr zugewiesene Rechtsvertretung verzichten zu wollen, hat die Vorinstanz ihr Schreiben vom 4. Januar 2024 korrekterweise dem «Leistungserbringer Rechtsschutz Bundesasylzentrum (BAZ) D._______» zukommen lassen, welcher aber offensichtlich darauf verzichtete, eine ent- sprechende Stellungnahme einzureichen. Das Schreiben betreffend recht- liches Gehör ist somit als korrekt zugestellt zu erachten und es ist daher kein Eröffnungsmangel ersichtlich. Sodann ist der Beschwerdeführerin aus der aus ihrer Sicht mangelhaften Tätigkeit ihrer Rechtsvertretung kein Rechtsnachteil erwachsen, da es ihr möglich gewesen ist, innert der verfügten Rechtsmittelfrist gehörig Be- schwerde zu führen und sie – nebst mehreren spontanen Eingaben – ins- besondere in der Replik nochmals ausführlich ihre Standpunkte darlegen konnte. Ob vorliegend die Rechtsvertretung rechtsgenüglich ihren Vertre- tungspflichten nachgekommen ist, kann daher offenbleiben. Auch ist keine falsche Sachverhaltsfeststellung ersichtlich.</w:t>
      </w:r>
    </w:p>
    <w:p>
      <w:r>
        <w:rPr>
          <w:b/>
        </w:rPr>
        <w:t>E. 4.3</w:t>
      </w:r>
    </w:p>
    <w:p>
      <w:r>
        <w:t>Zusammenfassend erweisen sich die geltend gemachten formellen Rü- gen als unbegründet und es besteht keine Veranlassung, die angefochtene Verfügung aufzuheben und die Sache zur Neubeurteilung an die Vo- rinstanz zurückzuweisen.</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w:t>
      </w:r>
    </w:p>
    <w:p>
      <w:r>
        <w:t>E-3023/2024 Seite 7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w:t>
      </w:r>
    </w:p>
    <w:p>
      <w:r>
        <w:t>Juli 2023 bis zum 23. Dezember 2023 in der Ukraine gelebt, mit dem Ziel, zusammen mit ihrem Lebenspartner eine Familie zu gründen.</w:t>
      </w:r>
    </w:p>
    <w:p>
      <w:r>
        <w:t>E-3023/2024 Seite 8 Insbesondere aufgrund der Aussichtslosigkeit des Krieges und der Gefahr, dass er für das ukrainische Militär rekrutiert und dabei sterben werde, seien sie in die Schweiz ausgereist.</w:t>
      </w:r>
    </w:p>
    <w:p>
      <w:r>
        <w:rPr>
          <w:b/>
        </w:rPr>
        <w:t>E. 6.1</w:t>
      </w:r>
    </w:p>
    <w:p>
      <w:r>
        <w:t>Das SEM führte zur Begründung der angefochtenen Verfügung im We- sentlichen aus, dass die Beschwerdeführerin nicht zu der vom Bundesrat definierten Gruppe der schutzberechtigten Personen gehöre, weil sie ge- stützt auf das Subsidiaritätsprinzip über eine Schutzalternative in Belgien verfüge, womit sie nicht auf den Schutz der Schweiz angewiesen sei. Bel- gien habe am 3. Januar 2024 der Rückübernahme der Beschwerdeführerin zugestimmt und somit bestätigt, dass sie über ein Aufenthaltsrecht verfüge. Weiter bestehe zwischen ihr und ihrem Lebenspartner aufgrund der kurzen Beziehungsdauer keine eheähnliche Gemeinschaft im Sinne der Recht- sprechung, weshalb auch die Voraussetzungen an die Schutzgewährung nach Art. 71 Abs. 1 Bst. a AsylG nicht erfüllt seien. Auch bei Annahme einer eheähnlichen Gemeinschaft bestehe kein Anspruch auf vorübergehenden Schutz in der Schweiz, da sie als Lebenspartnerin eines ungarischen Staatsangehörigen einen Anspruch auf ein gesichertes Aufenthaltsrecht in Ungarn hätte und gemeinsam mit ihrem Lebenspartner in Ungarn leben könnte.</w:t>
      </w:r>
    </w:p>
    <w:p>
      <w:r>
        <w:rPr>
          <w:b/>
        </w:rPr>
        <w:t>E. 6.2</w:t>
      </w:r>
    </w:p>
    <w:p>
      <w:r>
        <w:t>f.). Die auf Beschwerdestufe eingereichten Länderinformationen und Dokumente betreffend den Schutzstatus S in der Schweiz sowie in anderen Ländern führen zu keinem anderen Schluss. Vorliegend liegt nach dem Gesagten – gemäss Subsidiaritätsprinzip – eine gültige Schutzalternative in Belgien vor und die Voraussetzungen zur Gewährung des vorüberge- henden Schutzes in der Schweiz erweisen sich mangels Schutzbedürftig- keit als nicht erfüllt. An diesen Feststellungen vermag auch der Umstand nichts zu ändern, dass die Beschwerdeführerin sich lieber mit ihrem Le- benspartner in der Schweiz statt in Belgien (oder Ungarn) aufhalten möchte.</w:t>
      </w:r>
    </w:p>
    <w:p>
      <w:r>
        <w:t>E-3023/2024 Seite 9 Sodann hat Belgien mit Schreiben vom 3. Januar 2024 der Rücküber- nahme der Beschwerdeführerin zugestimmt. Zudem hat die Europäische Union am 25. Juni 2024 entschieden, den vorübergehenden Schutz für Personen aus der Ukraine (mit Schutzstaus S) bis am 4. März 2026 zu verlängern (&lt; https://www.consilium.europa.eu/en/press/press-relea- ses/2024/06/25/ukrainian-refugees-council-extends-temporary-protection- until-march-2026/ &gt; [zuletzt besucht: 10.09.2024]). Es ist daher – trotz des am 4. März 2024 abgelaufenen Schutzstatusausweises – davon auszuge- hen, dass der bestehende Schutzstatus der Beschwerdeführerin bei einer Rückkehr nach Belgien ohne Weiteres verlängert wird.</w:t>
      </w:r>
    </w:p>
    <w:p>
      <w:r>
        <w:rPr>
          <w:b/>
        </w:rPr>
        <w:t>E. 6.3</w:t>
      </w:r>
    </w:p>
    <w:p>
      <w:r>
        <w:t>In ihrer Vernehmlassung hält die Vorinstanz an ihren Ausführungen in der angefochtenen Verfügung fest.</w:t>
      </w:r>
    </w:p>
    <w:p>
      <w:r>
        <w:rPr>
          <w:b/>
        </w:rPr>
        <w:t>E. 6.4</w:t>
      </w:r>
    </w:p>
    <w:p>
      <w:r>
        <w:t>Replikweise macht die Beschwerdeführerin im Wesentlichen geltend, das Subsidiaritätsprinzip komme bei der Gewährung des vorübergehenden Schutzes nicht zur Anwendung. Ukrainische Staatsangehörige hätten das Recht, gleichzeitig einen Schutzstatus in drei bis vier Ländern zu haben.</w:t>
      </w:r>
    </w:p>
    <w:p>
      <w:r>
        <w:rPr>
          <w:b/>
        </w:rPr>
        <w:t>E. 7.1</w:t>
      </w:r>
    </w:p>
    <w:p>
      <w:r>
        <w:t>Nach Durchsicht der Akten schliesst sich das Bundesverwaltungs- gericht der Argumentation in der angefochtenen Verfügung an, welcher die Beschwerdeführerin letztlich nichts Entscheidendes entgegenzuhalten vermag.</w:t>
      </w:r>
    </w:p>
    <w:p>
      <w:r>
        <w:rPr>
          <w:b/>
        </w:rPr>
        <w:t>E. 7.2</w:t>
      </w:r>
    </w:p>
    <w:p>
      <w:r>
        <w:t>Es ist mit der Vorinstanz festzuhalten, dass – entgegen der Auffassung der Beschwerdeführerin – auch bei der Gewährung des vorübergehenden Schutzes das Subsidiaritätsprinzip gilt. Das Bundesverwaltungsgericht kam im BVGE 2022 VI/I zum Schluss, dass das Subsidiaritätsprinzip des asylrechtlichen Schutzes auch in Bezug auf die Gewährung des vorüber- gehenden Schutzes anzuwenden ist. Demnach sind ukrainische Staats- bürgerinnen und Staatsbürger in Verfahren um Gewährung des vorüberge- henden Schutzes, welche gemäss Ziff. I Bst. a der Allgemeinverfügung vor dem 24. Februar 2022 in der Ukraine wohnhaft gewesen sind, nicht auf den Schutz der Schweiz angewiesen und gelten entsprechend nicht als schutz- bedürftig im Sinne von Art. 4 AsylG, wenn sie über eine valable Schutzal- ternative ausserhalb der Ukraine verfügen (vgl. hierzu BVGE 2022 VI/I E.</w:t>
      </w:r>
    </w:p>
    <w:p>
      <w:r>
        <w:rPr>
          <w:b/>
        </w:rPr>
        <w:t>E. 7.3</w:t>
      </w:r>
    </w:p>
    <w:p>
      <w:r>
        <w:t>Das SEM hat damit das Gesuch um Gewährung des vorübergehenden Schutzes zu Recht abgelehnt.</w:t>
      </w:r>
    </w:p>
    <w:p>
      <w:r>
        <w:rPr>
          <w:b/>
        </w:rPr>
        <w:t>E. 8.1</w:t>
      </w:r>
    </w:p>
    <w:p>
      <w:r>
        <w:t>Lehnt das SEM ein Gesuch um Gewährung des vorübergehenden Schutzes ab, verfügt es in der Regel die Wegweisung aus der Schweiz und ordnet den Vollzug an (vgl. Art. 69 Abs. 4 AsylG).</w:t>
      </w:r>
    </w:p>
    <w:p>
      <w:r>
        <w:rPr>
          <w:b/>
        </w:rPr>
        <w:t>E. 8.2</w:t>
      </w:r>
    </w:p>
    <w:p>
      <w:r>
        <w:t>Die Beschwerdeführerin verfügt insbesondere weder über eine auslän- derrechtliche Aufenthaltsbewilligung noch über einen Anspruch auf Ertei- lung einer solchen. Die Wegweisung wurde demnach vom SEM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E-3023/2024 Seite 10</w:t>
      </w:r>
    </w:p>
    <w:p>
      <w:r>
        <w:rPr>
          <w:b/>
        </w:rPr>
        <w:t>E. 9.2.2</w:t>
      </w:r>
    </w:p>
    <w:p>
      <w:r>
        <w:t>Den Akten sind keine Hinweise auf eine Verletzung des flüchtlings- rechtlichen Refoulement-Verbots (Art. 5 Abs. 1 AsylG; vgl. ebenso Art. 33 Abs. 1 des Abkommens vom 28. Juli 1951 über die Rechtsstellung der Flüchtlinge [FK, SR 0.142.30]) zu entnehmen. Sodann ergeben sich weder aus den Aussagen der Beschwerdeführerin noch aus den Akten Anhalts- punkte dafür, dass sie für den Fall einer Rückkehr nach Belgien dort mit beachtlicher Wahrscheinlichkeit einer nach Art. 3 EMRK oder Art. 1 FoK verbotenen Strafe oder Behandlung ausgesetzt wäre. Auch die allgemeine Menschenrechtssituation in Belgien lässt den Wegweisungsvollzug zum heutigen Zeitpunkt nicht als unzulässig erscheinen.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allgemeine Lage in Belgien ist weder von Krieg, Bürgerkrieg, all- gemeine Gewalt noch von einer medizinischen Notlage gekennzeichnet. Der Bundesrat hat Belgien per 1. Januar 2018 denn auch als Heimat- oder Herkunftsstaat bezeichnet, in welchen eine Rückkehr in der Regel zumut- bar ist (vgl. Art. 85 Abs. 5 AIG i.V.m. Art. 18 und Anhang 2 der Verordnung über den Vollzug der Weg- und Ausweisung sowie der Landesverweisung von ausländischen Personen [VVWAL, SR 142.281]). Die Regelvermutung der Zumutbarkeit des Wegweisungsvollzugs kann durch konkrete und sub- stantiierte Hinweise umgestossen werden.</w:t>
      </w:r>
    </w:p>
    <w:p>
      <w:r>
        <w:rPr>
          <w:b/>
        </w:rPr>
        <w:t>E. 9.3.3</w:t>
      </w:r>
    </w:p>
    <w:p>
      <w:r>
        <w:t>Die Vorinstanz hielt in individueller Hinsicht fest, die Beschwerdefüh- rerin sei jung sowie gesund und verfüge über eine Ausbildung als (…) und (…). Sie habe zudem bereits mehrere Monate in Belgien gelebt und sei mit den dortigen Lebensverhältnissen vertraut. Sofern sie nicht selbständig für sich sorgen könne, könne sie sich an die zuständigen Behörden wenden und um sozialstaatliche Unterstützung ersuchen. Im Übrigen könne sich der ungarische Lebenspartner aufgrund seiner ungarischen Staatsbürger- schaft in Belgien aufhalten und dort ein ordentliches Aufenthaltsrecht be- antragen. Hiergegen wird von der Beschwerdeführerin nichts Substantiier- tes entgegengesetzt, weshalb die vorinstanzlichen Erwägungen vollum- fänglich zu bestätigen sind. Nach dem Gesagten erweist sich der Vollzug der Wegweisung auch als zumutbar.</w:t>
      </w:r>
    </w:p>
    <w:p>
      <w:r>
        <w:t>E-3023/2024 Seite 11</w:t>
      </w:r>
    </w:p>
    <w:p>
      <w:r>
        <w:rPr>
          <w:b/>
        </w:rPr>
        <w:t>E. 9.4</w:t>
      </w:r>
    </w:p>
    <w:p>
      <w:r>
        <w:t>Schliesslich obliegt es der Beschwerdeführerin, sich bei der zuständi- gen Vertretung des Heimatstaates die für eine Rückkehr notwendigen Rei- sedokumente zu beschaffen (vgl. Art 72 i.V.m.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11</w:t>
      </w:r>
    </w:p>
    <w:p>
      <w:r>
        <w:t>Bei diesem Ausgang des Verfahrens wären die Kosten der Beschwerde- führerin aufzuerlegen (Art. 63 Abs. 1 VwVG). Mit Zwischenverfügung vom 17. Juni 2024 wurde das Gesuch um Gewährung der unentgeltlichen Pro- zessführung gutgeheissen. Eine allfällige Veränderung der finanziellen Lage der Beschwerdeführerin geht aus den Akten nicht hervor, weshalb trotz Unterliegens keine Verfahrenskosten aufzuerlegen sind.</w:t>
      </w:r>
    </w:p>
    <w:p>
      <w:r>
        <w:t>(Dispositiv nächste Seite)</w:t>
      </w:r>
    </w:p>
    <w:p>
      <w:r>
        <w:t>E-3023/2024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