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E-3023/2021 vom 14. Oktober 2021</w:t>
      </w:r>
    </w:p>
    <w:p>
      <w:r>
        <w:t>Bundesverwaltungsgericht, 2021-10-14, DE</w:t>
      </w:r>
    </w:p>
    <w:p>
      <w:r>
        <w:rPr>
          <w:b/>
        </w:rPr>
        <w:t xml:space="preserve">Quelle: </w:t>
      </w:r>
      <w:r>
        <w:t>https://mcp.opencaselaw.ch/entscheid/bvger_E-3023_2021</w:t>
      </w:r>
    </w:p>
    <w:p>
      <w:r>
        <w:t>FR: TAF E-3023/2021 du 14 octobre 2021</w:t>
      </w:r>
    </w:p>
    <w:p>
      <w:r>
        <w:t>IT: TAF E-3023/2021 del 14 ottobre 2021</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ist einzutreten (Art. 108 Abs. 3 AsylG und Art. 52 Abs. 1 VwVG).</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3.1</w:t>
      </w:r>
    </w:p>
    <w:p>
      <w:r>
        <w:t>Die Beschwerdeführerin rügt eine Verletzung des Untersuchungsgrundsatzes beziehungsweise eine unvollständige Feststellung des rechtserheblichen Sachverhalts. Dabei handelt es sich um eine formelle Rüge, welche vorab zu beurteilen ist, da sie allenfalls geeignet wäre, eine Kassation der vorinstanzlichen Verfügung zu bewirken.</w:t>
      </w:r>
    </w:p>
    <w:p>
      <w:r>
        <w:rPr>
          <w:b/>
        </w:rPr>
        <w:t>E. 3.2</w:t>
      </w:r>
    </w:p>
    <w:p>
      <w:r>
        <w:t>Die unrichtige oder unvollständige Feststellung des rechtserheblichen Sachverhalts in Verletzung der behördlichen Untersuchungspflicht bildet einen Beschwerdegrund (Art. 106 Abs. 1 Bst. b AsylG) und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einer Urkunde oder Auskünfte Dritter).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 Aufl. 2019, Rz. 16 zu Art. 12; Benjamin Schindler, in Auer/Müller/Schindler [Hrsg.], a.a.O., Rz. 29 zu Art. 49). Alle erheblichen Parteivorbringen sind sodann zu prüfen und zu würdigen (vgl. Art. 29 Abs. 2 BV; Art. 35 Abs. 1 VwVG), wobei sich das Ergebnis der Würdigung in der Entscheidbegründung niederzuschlagen hat (vgl. Art. 35 VwVG).</w:t>
      </w:r>
    </w:p>
    <w:p>
      <w:r>
        <w:rPr>
          <w:b/>
        </w:rPr>
        <w:t>E. 3.3</w:t>
      </w:r>
    </w:p>
    <w:p>
      <w:r>
        <w:t>Die Beschwerdeführerin begründet die Rüge der Verletzung der vollständigen und richtigen Abklärung des rechtserheblichen Sachverhalts damit, die Vorinstanz habe einen Nichteintretensentscheid verfügt, ohne die Zustimmung zur Rückübernahme von Italien abzuwarten. Vor dem Hintergrund ihrer Vulnerabilität hätten es die schweizerischen Behörden versäumt, individuelle Garantien betreffend die Aufnahmebedingungen im Einzelfall einzuholen.</w:t>
      </w:r>
    </w:p>
    <w:p>
      <w:r>
        <w:rPr>
          <w:b/>
        </w:rPr>
        <w:t>E. 3.4</w:t>
      </w:r>
    </w:p>
    <w:p>
      <w:r>
        <w:t>Soweit die Beschwerdeführerin auf das Urteil des Europäischen Gerichtshofs für Menschenrechte (EGMR) in Sachen Tarakhel gegen die Schweiz (Urteil vom 4. November 2014, 29217/12) betreffend die Einholung von Garantien für bestimmte Personengruppen verweist, betrifft dieses die Dublinverfahren und nicht Verfahren in Bezug auf sichere Drittstaaten.</w:t>
      </w:r>
    </w:p>
    <w:p>
      <w:r>
        <w:rPr>
          <w:b/>
        </w:rPr>
        <w:t>E. 3.5</w:t>
      </w:r>
    </w:p>
    <w:p>
      <w:r>
        <w:t>Gemäss Art. 6 Abs. 2 des Rückübernahmeabkommens hat ein Rückübernahmegesuch die im Anhang zu diesem Abkommen vorgesehenen Elemente zu enthalten. Nach Art. 6 Abs. 3 Rückübernahmeabkommen teilt die ersuchte Vertragspartei den eigenen Entscheid der ersuchenden Vertragspartei innert kürzester Frist, spätestens innert acht Tagen, schriftlich mit. Die vom Rückübernahmeantrag betroffene Person wird erst nach Erhalt der Erlaubnis der ersuchten Vertragspartei übergeben (vgl. Ziffer 2.5 Anhang Rückübernahmeabkommen). Die Vorinstanz ist in ihrem Entscheid gestützt auf Art. 31a Abs. 1 Bst. a AsylG nicht auf das Asylgesuch eingetreten und hat die Wegweisung nach Italien angeordnet. Dabei stützte sie sich auf eine Mitteilung des italienischen Innenministeriums vom 18. Mai 2021, in welcher dieses ausführte, die Beschwerdeführerin habe in Italien eine asylrechtliche Aufenthaltsgenehmigung erhalten und verfüge deshalb über einen Aufenthaltstitel. Die Zustimmung zur Rückübernahme müsse wegen der Vulnerabilität aufgrund ihrer Schwangerschaft ausgesetzt werden, bis bekannt sei, ob vorliegend die Voraussetzungen für eine Unterbringung in einer Struktur des SAI vorlägen (vgl. SEM-Akten 1091832-28/2). Die Vorinstanz interpretierte das Schreiben als vorbehaltlose Zustimmung zur Rückübernahme der Beschwerdeführerin. Dieser Einschätzung kann indessen nicht gefolgt werden. Es handelt sich dabei nicht um eine vorbehaltlose Zustimmung, da diese ausdrücklich noch nicht erteilt wurde. Anders als im Dublinverfahren existiert bei Überstellungen, welche gestützt auf das Rückübernahmeabkommen erfolgen, keine sogenannte implizite Zustimmung (vgl. Art. 25 Abs. 2 Dublin-III-VO). Vielmehr setzt eine rechtmässige Überstellung der Beschwerdeführerin in den sicheren Drittstaat voraus, dass ihre Rückübernahme durch den aufnehmenden Staat garantiert ist (vgl. BVGE 2010/56 E. 5.2.2; Urteil des BVGer E-2322/2021 vom 20. August 2021). Vorliegend ist die Rückübernahme nicht garantiert. In der Mitteilung des italienischen Innenministeriums vom 18. Mai 2021 wird die Zustimmung zur Rückübernahme ausdrücklich von der Bedingung abhängig gemacht, dass zuerst eine angemessene Unterbringung für die Beschwerdeführerin gefunden werden muss. Somit ist die Vorinstanz ohne Vorliegen der erforderlichen Zusicherung der Rückübernahme der Beschwerdeführerin durch die zuständigen italienischen Behörden in Anwendung von Art. 31a Abs. 1 Bst. a AsylG auf das Asylgesuch nicht eingetreten. Im Übrigen wartete die Vor-instanz in einem anderen Verfahren explizit zu mit dem Nichteintretensentscheid. Sie verfügte diesen erst, als zwei Jahre nach einer solchen Mitteilung die ausdrückliche Zustimmung zur Rückübernahme durch die italienischen Behörden vorlag (vgl. Urteil des BVGer D-1624/2021 vom 3. Mai 2021).</w:t>
      </w:r>
    </w:p>
    <w:p>
      <w:r>
        <w:rPr>
          <w:b/>
        </w:rPr>
        <w:t>E. 3.6</w:t>
      </w:r>
    </w:p>
    <w:p>
      <w:r>
        <w:t>Das Bundesverwaltungsgericht entscheidet in der Regel reformatorisch. Nur ausnahmsweise wird eine angefochtene Verfügung kassiert und an die Vorinstanz zurückgewiesen. Vorliegend liegt eine Verletzung des Untersuchungsgrundsatzes beziehungsweise eine unvollständige Feststellung des rechtserheblichen Sachverhalts vor. Eine Kassation der angefochtenen Verfügung ist daher gerechtfertigt. Die Beschwerde ist gutzuheissen. Die Verfügung vom 22. Juni 2021 ist aufzuheben und die Sache ist im Sinne der Erwägungen zur vollständigen Sachverhaltsfeststellung (Einholen der erforderlichen Zusicherung der Rückübernahme der Beschwerdeführerin durch die zuständigen italienischen Behörden) sowie zu neuer Entscheidung an die Vorinstanz zurückzuweisen.</w:t>
      </w:r>
    </w:p>
    <w:p>
      <w:r>
        <w:rPr>
          <w:b/>
        </w:rPr>
        <w:t>E. 4.1</w:t>
      </w:r>
    </w:p>
    <w:p>
      <w:r>
        <w:t>Bei diesem Ausgang des Verfahrens sind keine Kosten zu erheben (Art. 63 Abs. 1 und 2 VwVG).</w:t>
      </w:r>
    </w:p>
    <w:p>
      <w:r>
        <w:rPr>
          <w:b/>
        </w:rPr>
        <w:t>E. 4.2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