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E-3016/2020 vom 30. Juni 2020</w:t>
      </w:r>
    </w:p>
    <w:p>
      <w:r>
        <w:t>Bundesverwaltungsgericht, 2020-06-30, DE</w:t>
      </w:r>
    </w:p>
    <w:p>
      <w:r>
        <w:rPr>
          <w:b/>
        </w:rPr>
        <w:t xml:space="preserve">Quelle: </w:t>
      </w:r>
      <w:r>
        <w:t>https://mcp.opencaselaw.ch/entscheid/bvger_E-3016_2020</w:t>
      </w:r>
    </w:p>
    <w:p>
      <w:r>
        <w:t>FR: TAF E-3016/2020 du 30 juin 2020</w:t>
      </w:r>
    </w:p>
    <w:p>
      <w:r>
        <w:t>IT: TAF E-3016/2020 del 30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 COVID-19-Verordnung Asyl;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Auf den Rückweisungsantrag ist im konkreten Fall nicht einzugehen, da dieser in der Beschwerdeschrift nicht weiter begründet wurde und keine offensichtlichen entsprechenden Mängel erkennbar sind.</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Hinsichtlich des Vorfalls aus dem Jahr 2012 gilt festzuhalten, dass eine Verfolgungssituation in der Regel aktuell sein muss, um gemäss Art. 3 AsylG als asylrelevant zu gelten. Dies bedeutet, dass zwischen dem Ereignis und der Flucht ein zeitlicher Kausalzusammenhang bestehen muss. Dabei wird anerkannt, dass es plausible objektive und subjektive Gründe gibt, die eine zeitlich verzögerte Ausreise erklärbar machen (vgl. BVGE 2011/50 E. 3.1.2. m.w.H.; 2010/57 E. 2.4 und 3.2 m.w.H. und 2009/51 E. 4.2.5 m.w.H.). Nachdem die Beschwerdeführerin im Jahr 2012 nach Bogotá umgesiedelt war, wo sie bis Ende 2019 lebte, hat sie keine Drohungen von Guerillas mehr erhalten. Sie liess sich indes, wie die Bestätigung «Unidad para las Víctimas» zeigt, im gleichen Jahr als Opfer im dafür vorgesehenen Register eintragen. Ein Kausalzusammenhang in zeitlicher und sachlicher Hinsicht zwischen diesem Ereignis aus dem Jahr 2012 und ihrer Ausreise aus Kolumbien im (...) 2020 ist daher zu verneinen.</w:t>
      </w:r>
    </w:p>
    <w:p>
      <w:r>
        <w:rPr>
          <w:b/>
        </w:rPr>
        <w:t>E. 6.2</w:t>
      </w:r>
    </w:p>
    <w:p>
      <w:r>
        <w:t>Im Dezember 2019 sei sie mit ihrem jüngeren Sohn in ihre Heimatregion zurückgekehrt. Dort sei sie im (...) 2020, wie auch im Schreiben der der «Inspección de Policía» der Gemeinde E._______ vom (...) 2020 zu lesen ist, telefonisch von subversiven Gruppen bedroht worden. Ob dieses geschilderte Ereignis der Wahrheit entspricht, was vom SEM bezweifelt wurde, kann offenbleiben.</w:t>
      </w:r>
    </w:p>
    <w:p>
      <w:r>
        <w:rPr>
          <w:b/>
        </w:rPr>
        <w:t>E. 6.2.1</w:t>
      </w:r>
    </w:p>
    <w:p>
      <w:r>
        <w:t>Eine Verfolgung durch nichtstaatliche Akteure kann grundsätzlich flüchtlingsrelevant sein, wenn es der betroffenen Person nicht möglich ist, davor im Heimatstaat adäquaten Schutz zu finden. Nach der sogenannten Schutztheorie ist nichtstaatliche Verfolgung nur dann asylrelevant, wenn der Staat unfähig oder nicht willens ist, Schutz vor besagter Verfolgung zu bieten. Es ist dabei vom Staat nicht eine faktische Garantie für langfristigen individuellen Schutz der von nichtstaatlicher Verfolgung bedrohten Personen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wie an ein Rechts- und Justizsystem zu denken ist, welches eine effektive Strafverfolgung ermöglicht. Ob das bestehende Schutzsystem als in diesem Sinne effizient erachtet werden kann, hängt letztlich auch davon ab, ob der Schutz die von Verfolgung betroffene Person tatsächlich erreicht (vgl. BVGE 2011/51 E. 7.3 m.w.H.). Die Inanspruchnahme dieses Schutzsystems muss der betroffenen Person demnach objektiv zugänglich und individuell zumutbar sein, was jeweils im Rahmen einer Einzelfallprüfung unter Berücksichtigung des länderspezifischen Kontexts zu beurteilen ist.</w:t>
      </w:r>
    </w:p>
    <w:p>
      <w:r>
        <w:rPr>
          <w:b/>
        </w:rPr>
        <w:t>E. 6.2.2</w:t>
      </w:r>
    </w:p>
    <w:p>
      <w:r>
        <w:t>Die Beschwerdeführerin hat die Bedrohungen vom (...) 2020 den Behörden nicht gemeldet, weil dies gemäss ihren Aussagen ihr Todesurteil bedeutet hätte (SEM-Akte 17 F67 f.). Diese Erklärung ist nicht einleuchtend und vermag nicht zu überzeugen, zumal es bereits im Jahr 2012 für sie möglich und zumutbar gewesen war, nach der ersten mutmasslichen Drohung durch die FARC diesbezüglich bei der Staatsanwaltschaft in Bogotá auszusagen (SEM-Akte 17 F82). Den Akten ist nicht zu entnehmen, dass ein solcher Akt ihrerseits negative Konsequenzen nach sich gezogen hätte. Indem sie hinsichtlich der Drohungen im Jahr 2020 nichts unternommen hat, konnten die Behörden ihr auch keinen Schutz zugestehen. Folglich kann nicht gesagt werden, dass diese Behelligungen von Kolumbien aufgrund fehlender Schutzbereitschaft tatenlos hingenommen worden wären. An dieser Einschätzung vermag auch die Bestätigung der «Inspección de Policía» der Gemeinde E._______ vom (...) 2020 nichts zu ändern, zumal dieser, da keine Anzeige erstattet worden sei, die diesbezügliche Sachlage nicht bekannt sein dürfte.</w:t>
      </w:r>
    </w:p>
    <w:p>
      <w:r>
        <w:rPr>
          <w:b/>
        </w:rPr>
        <w:t>E. 6.3</w:t>
      </w:r>
    </w:p>
    <w:p>
      <w:r>
        <w:t>Letztlich ist auch die Einschätzung des SEM zu bestätigen, auf die vorab verwiesen werden kann, dass eine interne Fluchtalternative besteht. Folglich ist nicht davon auszugehen ist, dass die Guerillas die Beschwerdeführerin in ganz Kolumbien suchen würden. So hat sie (die Beschwerdeführerin) schon früher sieben Jahr ohne Probleme in Bogotá verbracht. Auch Cali, wo sie geboren wurde, könnte eine Option sein, wie sie selber anlässlich der Anhörung aussagte (SEM-Akte 17 F111 f.).</w:t>
      </w:r>
    </w:p>
    <w:p>
      <w:r>
        <w:rPr>
          <w:b/>
        </w:rPr>
        <w:t>E. 6.4</w:t>
      </w:r>
    </w:p>
    <w:p>
      <w:r>
        <w:t>Zusammenfassend geht das Bundesverwaltungsgericht wie das SEM davon aus, dass keine asylrelevante Verfolgung im Sinne von Art. 3 AsylG vorliegt. Der Beschwerdeführerin steht bei einer Rückkehr ferner nach Bedarf einer innerstaatliche Schutzalternative auf dem Staatsgebiet von Kolumbien zur Verfügung, was einen notwendigen Schutz eines Drittstaates ausschliesst. Das SEM hat daher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(Art. 32 AsylV1).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 ff.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Kolumbien fand über fünfzig Jahre ein bewaffneter Konflikt zwischen den kolumbianischen Streitkräften, den Guerillas und paramilitärischen Gruppen statt. Im November 2016 wurde der aktuelle Friedensvertrag zwischen dem kolumbianischen Staat und der FARC geschlossen, der später von beiden Kammern des Kongresses gutgeheissen wurde. Nicht vergessen bleibt, dass allen Parteien während des Konflikts schwere Menschenrechtsverletzungen vorgeworfen wurden; bei den meisten Opfern handelt es sich um Zivilpersonen. Auch wenn im September 2019 ein Teil der FARC die Wiederbewaffnung ankündigte, sind gemessen an der allgemeinen Lage in Kolumbien von heute jedoch keine generellen Vollzugshindernisse im Sinne der Unzumutbarkeit erkennbar.</w:t>
      </w:r>
    </w:p>
    <w:p>
      <w:r>
        <w:rPr>
          <w:b/>
        </w:rPr>
        <w:t>E. 8.3.2</w:t>
      </w:r>
    </w:p>
    <w:p>
      <w:r>
        <w:t>Auch aus individueller Sicht bleibt ein Vollzug der Wegweisung der Beschwerdeführerin zumutbar. Sie verfügt in ihrer Heimatregion D._______ und in Bogotá, wo sie sieben Jahre lebte, über ein familiäres und soziales Netz. Sie hat - neben ihrer Erfahrung als Influencerin - eine Ausbildung im Pflegebereich. Auch aus medizinischer Sicht ist den Akten klein Vollzugshindernis zu entnehmen. Folglich ist nicht davon auszugehen, dass sie bei einer Rückkehr nach Kolumbien in eine existenzbedrohende Situation geraten wird. 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der Beschwerde wurde die Gewährung der unentgeltlichen Prozessführung, ein Verzicht auf die Erhebung eines Kostenvorschusses und eine Beiordnung einer amtlichen Rechtsvertretung beantragt. Aufgrund der vorstehenden Erwägungen ergibt sich, dass die Begehren als aussichtslos zu gelten haben. Damit ist eine der kumulativ zu erfüllenden Voraussetzungen nicht gegeben, weshalb dem Gesuch um Gewährung der unentgeltlichen Prozesshilfe (Art. 65 Abs. 1 VwVG) nicht stattzugeben ist.</w:t>
      </w:r>
    </w:p>
    <w:p>
      <w:r>
        <w:rPr>
          <w:b/>
        </w:rPr>
        <w:t>E. 10.2</w:t>
      </w:r>
    </w:p>
    <w:p>
      <w:r>
        <w:t>Bei diesem Ausgang des Verfahrens sind die Kosten der Beschwerdeführerin aufzuerlegen (Art. 63 Abs. 1 VwVG) und auf Fr. 750.- festzusetzen (Art. 1-3 des Reglements vom 21. Februar 2008 über die Kosten und Entschädigungen vor dem Bundesverwaltungsgericht [VGKE, SR 173.320.2]).</w:t>
      </w:r>
    </w:p>
    <w:p>
      <w:r>
        <w:rPr>
          <w:b/>
        </w:rPr>
        <w:t>E. 10.3</w:t>
      </w:r>
    </w:p>
    <w:p>
      <w:r>
        <w:t>Das Gesuch um unentgeltliche Rechtsverbeiständung (Art. 102m AsylG) ist mangels Erfüllens der Voraussetzungen von Art. 65 Abs. 1 VwVG ebenfalls abzuweisen. Der Antrag auf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