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E-300/2021 vom 27. Januar 2021</w:t>
      </w:r>
    </w:p>
    <w:p>
      <w:r>
        <w:t>Bundesverwaltungsgericht, 2021-01-27, DE</w:t>
      </w:r>
    </w:p>
    <w:p>
      <w:r>
        <w:rPr>
          <w:b/>
        </w:rPr>
        <w:t xml:space="preserve">Quelle: </w:t>
      </w:r>
      <w:r>
        <w:t>https://mcp.opencaselaw.ch/entscheid/bvger_E-300_2021</w:t>
      </w:r>
    </w:p>
    <w:p>
      <w:r>
        <w:t>FR: TAF E-300/2021 du 27 janvier 2021</w:t>
      </w:r>
    </w:p>
    <w:p>
      <w:r>
        <w:t>IT: TAF E-300/2021 del 27 gennaio 2021</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Art. 83 Bst. d Ziff. 1 BGG). Der Beschwerdeführer ist als Verfügungsadressat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bilden demgegenüber nicht Gegenstand des angefochtenen Nichteintretensentscheides und damit auch nicht des vorliegenden Verfahrens. Auf die entsprechenden Beschwerdeanträge ist deshalb nicht einzutreten.</w:t>
      </w:r>
    </w:p>
    <w:p>
      <w:r>
        <w:rPr>
          <w:b/>
        </w:rPr>
        <w:t>E. 2.3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3.4</w:t>
      </w:r>
    </w:p>
    <w:p>
      <w:r>
        <w:t>Ein Abgleich der Fingerabdrücke des Beschwerdeführers mit der "Eurodac"-Datenbank ergab, dass dieser am (...) November 2020 in Rumänien ein Asylgesuch eingereicht hatte. Das SEM ersuchte deshalb die rumänischen Behörden am (...) Dezember 2020 um Wiederaufnahme des Beschwerdeführers gestützt auf Art. 18 Abs. 1 Bst. b Dublin-III-VO. Die rumänischen Behörden stimmten dem Gesuch um Übernahme am (...) Januar 2021 zu. Der Beschwerdeführer bestreitet nicht, in Rumänien ein Asylgesuch eingereicht zu haben, und auch die grundsätzliche Zuständigkeit dieses Mitgliedstaates blieb unbestritten. Die grundsätzliche Zuständigkeit Rumäniens ist somit gegeben.</w:t>
      </w:r>
    </w:p>
    <w:p>
      <w:r>
        <w:rPr>
          <w:b/>
        </w:rPr>
        <w:t>E. 3.5</w:t>
      </w:r>
    </w:p>
    <w:p>
      <w:r>
        <w:t>Im Lichte von Art. 3 Abs. 2 Dublin-III-VO ist zu prüfen, ob es - wie vom Beschwerdeführer implizit gerügt - wesentliche Gründe für die Annahme gibt, das Asylverfahren und die Aufnahmebedingungen für Asylsuchende in Rumänien würden systemische Schwachstellen aufweisen, die eine Gefahr einer unmenschlichen oder entwürdigenden Behandlung im Sinne des Artikels 4 der EU-Grundrechtecharta mit sich bringen würden.</w:t>
      </w:r>
    </w:p>
    <w:p>
      <w:r>
        <w:rPr>
          <w:b/>
        </w:rPr>
        <w:t>E. 3.5.1</w:t>
      </w:r>
    </w:p>
    <w:p>
      <w:r>
        <w:t>Rumänien ist Signatarstaat der FK und der EMRK und es darf davon ausgegangen werden, dieser Staat anerkenne und schütze die Rechte, die sich für Schutzsuchende aus der Richtlinie des Europäischen Parlaments und des Rates 2013/32/EU vom 26. Juni 2013 zu gemeinsamen Verfahren für die Zuerkennung und Aberkennung des internationalen Schutzes (sog. Verfahrensrichtlinie) sowie der Aufnahmerichtlinie ergeben (vgl. hierzu etwa die Urteile des BVGer D-6557/2020 vom 7. Januar 2021, D-5665/2017 vom 13. März 2018 und D-7213/2017 vom 4. Januar 2018).</w:t>
      </w:r>
    </w:p>
    <w:p>
      <w:r>
        <w:rPr>
          <w:b/>
        </w:rPr>
        <w:t>E. 3.5.2</w:t>
      </w:r>
    </w:p>
    <w:p>
      <w:r>
        <w:t>Was den Einwand des Beschwerdeführers betrifft, in Rumänien schlecht behandelt worden zu sein, ist auf die Aufnahmerichtlinie zu verweisen welche zahlreiche Mindestnormen für die Aufnahme und Betreuung von Asylsuchenden beinhaltet. Der Beschwerdeführer hat keine konkreten Hinweise für die Annahme dargetan, Rumänien würde ihm dauerhaft die ihm gemäss Aufnahmerichtlinie zustehenden minimalen Lebensbedingungen vorenthalten. Bei einer allfälligen vorübergehenden Einschränkung könnte er sich im Übrigen nötigenfalls an die rumänischen Behörden wenden und die ihm zustehenden Aufnahmebedingungen auf dem Rechtsweg einfordern (vgl. Art. 26 Aufnahmerichtlinie). Aufgrund der Aktenlage besteht somit kein Grund zur Annahme, der Beschwerdeführer würde in Rumänien wegen fehlenden Zugangs zum Asylverfahren oder ungenügenden Aufenthaltsbedingungen in eine existenzielle Not geraten.</w:t>
      </w:r>
    </w:p>
    <w:p>
      <w:r>
        <w:rPr>
          <w:b/>
        </w:rPr>
        <w:t>E. 3.5.3</w:t>
      </w:r>
    </w:p>
    <w:p>
      <w:r>
        <w:t>Unter diesen Umständen ist die Anwendung von Art. 3 Abs. 2 Dublin-III-VO nicht gerechtfertigt.</w:t>
      </w:r>
    </w:p>
    <w:p>
      <w:r>
        <w:rPr>
          <w:b/>
        </w:rPr>
        <w:t>E. 3.6</w:t>
      </w:r>
    </w:p>
    <w:p>
      <w:r>
        <w:t>Die Einwände des Beschwerdeführers vermögen auch unter dem Blickwinkel humanitärer Gründe keine Zuständigkeit der Schweiz zu begründen.</w:t>
      </w:r>
    </w:p>
    <w:p>
      <w:r>
        <w:rPr>
          <w:b/>
        </w:rPr>
        <w:t>E. 3.6.1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3.6.2</w:t>
      </w:r>
    </w:p>
    <w:p>
      <w:r>
        <w:t>Die vom Beschwerdeführer erlittenen Erfrierungen ersten Grades an den Zehen (vgl. Arztbericht vom [...] Januar 2021 [vorinstanzliche Akten {...}-19/1]) stellen gegenwärtig kein Problem dar.</w:t>
      </w:r>
    </w:p>
    <w:p>
      <w:r>
        <w:rPr>
          <w:b/>
        </w:rPr>
        <w:t>E. 3.6.3</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3.6.4</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3.7</w:t>
      </w:r>
    </w:p>
    <w:p>
      <w:r>
        <w:t>Somit bleibt Rumänien der für die Behandlung des Asylgesuchs des Beschwerdeführers zuständige Mitgliedstaat gemäss Dublin-III-VO. Rumänien ist verpflichtet, das Asylverfahren gemäss Art. 23, 24, 25 und 29 Dublin-III-VO wieder aufzunehmen.</w:t>
      </w:r>
    </w:p>
    <w:p>
      <w:r>
        <w:rPr>
          <w:b/>
        </w:rPr>
        <w:t>E. 4</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Rumänien in Anwendung von Art. 44 AsylG ebenfalls zu Recht angeordnet (Art. 32 Bst. a AsylV 1).</w:t>
      </w:r>
    </w:p>
    <w:p>
      <w:r>
        <w:rPr>
          <w:b/>
        </w:rPr>
        <w:t>E. 5</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6</w:t>
      </w:r>
    </w:p>
    <w:p>
      <w:r>
        <w:t>Nach dem Gesagten ist die Beschwerde abzuweisen, soweit darauf einzutreten ist, und die Verfügung des SEM zu bestätigen. Das Beschwerdeverfahren ist mit vorliegendem Urteil abgeschlossen, weshalb sich der Eventualantrag auf Gewährung der aufschiebenden Wirkung als gegenstandslos erweist.</w:t>
      </w:r>
    </w:p>
    <w:p>
      <w:r>
        <w:rPr>
          <w:b/>
        </w:rPr>
        <w:t>E. 7</w:t>
      </w:r>
    </w:p>
    <w:p>
      <w:r>
        <w:t>Aufgrund obiger Erwägungen ist die eingereichte Beschwerde von vornherein als aussichtslos zu erachten, weshalb das Gesuch um Gewährung der unentgeltlichen Prozessführung nach Art. 65 Abs. 1 VwVG unbesehen der allfälligen Mittellosigkeit abzuweisen ist. Dementsprechend ist auch das Gesuch um unentgeltliche Rechtsverbeiständung abzuweisen. Mit dem vorliegenden Direktentscheid ist das Gesuch um Verzicht auf die Erhebung eines Kostenvorschusses gegenstandslos geworden.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