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E-3009/2024 vom 27. Mai 2024</w:t>
      </w:r>
    </w:p>
    <w:p>
      <w:r>
        <w:t>Bundesverwaltungsgericht, 2024-05-27, FR</w:t>
      </w:r>
    </w:p>
    <w:p>
      <w:r>
        <w:rPr>
          <w:b/>
        </w:rPr>
        <w:t xml:space="preserve">Quelle: </w:t>
      </w:r>
      <w:r>
        <w:t>https://mcp.opencaselaw.ch/entscheid/bvger_E-3009_2024</w:t>
      </w:r>
    </w:p>
    <w:p>
      <w:r>
        <w:t>FR: TAF E-3009/2024 du 27 mai 2024</w:t>
      </w:r>
    </w:p>
    <w:p>
      <w:r>
        <w:t>IT: TAF E-3009/2024 del 27 maggio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t>E-3009/2024 Page 5</w:t>
      </w:r>
    </w:p>
    <w:p>
      <w:r>
        <w:rPr>
          <w:b/>
        </w:rPr>
        <w:t>E. 1.3</w:t>
      </w:r>
    </w:p>
    <w:p>
      <w:r>
        <w:t>L'intéressé a qualité pour recourir ; présenté dans la forme et le délai prescrits par la loi, le recours est recevable (art. 48 al. 1 et 52 al. 1 PA ainsi que 108 al. 2 LAsi).</w:t>
      </w:r>
    </w:p>
    <w:p>
      <w:r>
        <w:rPr>
          <w:b/>
        </w:rPr>
        <w:t>E. 2</w:t>
      </w:r>
    </w:p>
    <w:p>
      <w:r>
        <w:t>Dans les conclusions et la motivation de son recours, l’intéressé fait valoir une violation par le SEM de son droit d’être entendu et de l’obligation de motiver ainsi qu’un établissement incomplet des faits pertinents (art. 106 al. 1 let. b LAsi). Il n’a cependant pas exposé clairement en quoi l’autorité intimée n’aurait pas respecté ces garanties de procédure, faisant seulement valoir qu’elle aurait dû lui accorder le délai supplémentaire qu’il réclamait pour s’exprimer au sujet de l’analyse des pièces déposées par lui. Ce grief tombe à faux : en effet, après avoir transmis au recourant les conclusions de cette analyse et l’avoir invité à réagir, le SEM a clairement expliqué dans sa décision pour quelles raisons il n’y avait pas lieu de prolonger le délai déjà accordé (cf. à ce sujet arrêt du Tribunal E-5459/2023 du 26 février 2024 consid. 2.4) ; au surplus, l’intéressé a eu tout loisir de s’exprimer à ce sujet dans son recours et n’a depuis lors déposé aucune preuve décisive, comme il sera vu par la suite. Pour le surplus, les arguments du recourant se rapportent au fond et seront examinés par la suite. Ainsi, il y a lieu d’écarter sans autre examen les griefs formels allégués par l’intéressé.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E-3009/2024 Page 6 contradictoires, qui ne correspondent pas aux faits ou qui reposent de manière déterminante sur des moyens de preuve faux ou falsifiés (art. 7 LAsi).</w:t>
      </w:r>
    </w:p>
    <w:p>
      <w:r>
        <w:rPr>
          <w:b/>
        </w:rPr>
        <w:t>E. 4.1</w:t>
      </w:r>
    </w:p>
    <w:p>
      <w:r>
        <w:t>En l'occurrence, l’intéressé n’a pas été en mesure de faire apparaître la crédibilité et le sérieux de ses motifs.</w:t>
      </w:r>
    </w:p>
    <w:p>
      <w:r>
        <w:rPr>
          <w:b/>
        </w:rPr>
        <w:t>E. 4.2</w:t>
      </w:r>
    </w:p>
    <w:p>
      <w:r>
        <w:t>En effet, selon ses déclarations, il n’aurait pas fait l’objet de mesures à ce point graves qu’elles puissent être qualifiées de persécution ; il aurait été brièvement retenu, interrogé et malmené par des agents de police, la première fois après son arrestation du (…) mars 2022, à l’issue du rassemblement organisé pour la fête du « Newroz », puis le (…) avril suivant, après la perquisition du domicile familial par les policiers. Les problèmes qu’il a pu rencontrer ne différaient ainsi pas substantiellement de ceux que doit couramment affronter la population kurde de Turquie, exposées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Il apparaît en outre que le recourant n’aurait entretenu qu’un engagement politique de peu d’ampleur, prenant occasionnellement part à des réunions et des meetings du HDP, dont il était sympathisant ; il n’y a ainsi pas de raisons que la police ou la justice turques s’intéressent particulièrement à lui.</w:t>
      </w:r>
    </w:p>
    <w:p>
      <w:r>
        <w:rPr>
          <w:b/>
        </w:rPr>
        <w:t>E. 4.3</w:t>
      </w:r>
    </w:p>
    <w:p>
      <w:r>
        <w:t>Le recourant a déposé les copies de plusieurs pièces supposées attester qu’il a fait l’objet d’une procédure pénale pour propagande en faveur d’une organisation terroriste ; l’analyse du SEM, dont la synthèse lui a été communiquée, a cependant fait apparaître que l’authenticité de plusieurs de ces documents était douteuse. L’extrait du compte « UYAP » joint au recours n’est pas de nature à modifier cette appréciation ; en effet, la nature et les motifs de l’action pénale qui aurait été ouverte en date du (…) avril 2022 sont inconnus. De plus, elle aurait été initiée à la même époque que l’autre procédure, ouverte auprès de la même juridiction ; elle se trouvait ainsi forcément en rapport avec</w:t>
      </w:r>
    </w:p>
    <w:p>
      <w:r>
        <w:t>E-3009/2024 Page 7 celle-ci, dont l’absence de crédibilité a été établie. Enfin, la lettre de l’avocat du recourant, à laquelle est annexé un extrait du même compte « UYAP », n’a pas été traduite ; elle émane en outre d’une personne privée et n’a pas valeur de preuve, ce d’autant moins qu’elle fait suite à une demande du recourant et que son caractère complaisant ne peut être exclu. L’avocat n’apparaît du reste pas, à première vue, y remettre valablement en cause l’analyse du SEM sur le caractère douteux des pièces produites par l’intéressé. Les déclarations du recourant ne permettent d’ailleurs guère de comprendre les raisons de l’accusation ; en effet, il se serait vu reprocher la teneur d’un message téléphonique à un ami, d’ailleurs peu compromettant (cf. procès-verbal [p-v] de l’audition du 27 octobre 2023, questions 35 et 36), et aurait été trouvé en possession d’un livre interdit (cf. idem, questions 47 à 49), incriminations qui ne revêtaient pas le caractère public par nature attaché à l’infraction imputée.</w:t>
      </w:r>
    </w:p>
    <w:p>
      <w:r>
        <w:rPr>
          <w:b/>
        </w:rPr>
        <w:t>E. 4.4</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w:t>
      </w:r>
    </w:p>
    <w:p>
      <w:r>
        <w:t>E-3009/2024 Page 8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6.2.2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l’espèce,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w:t>
      </w:r>
    </w:p>
    <w:p>
      <w:r>
        <w:t>E-3009/2024 Page 9 l'existence d'une mise en danger concrète au sens de l'art. 83 al. 4 LEI (cf. arrêts du Tribunal D-1356 et 1358/2024 du 14 mai 2024 consid. 10.2 ; E-4792/2023 du 25 avril 2024 consid. 8.2 et réf. cit. ; E-1682/2024 du</w:t>
      </w:r>
    </w:p>
    <w:p>
      <w:r>
        <w:rPr>
          <w:b/>
        </w:rPr>
        <w:t>E. 6.3.3</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E-3009/2024 Page 10 8. S'avérant manifestement infondé, celui-ci est rejeté dans une procédure à juge unique, avec l'approbation d'un second juge (art. 111 let. e LAsi). Il est dès lors renoncé à un échange d'écritures, le présent arrêt n'étant motivé que sommairement (art. 111a al. 1 et 2 LAsi). 9. Dans la mesure où les conclusions du recours étaient d'emblée vouées à l'échec, la requête d'assistance judiciaire totale doit être rejetée (art. 65 al. 1 PA), de sorte qu’il y a lieu de mettre les frais de procédure à la charge du recourant, conformément aux art. 63 al. 1 PA et ainsi que 2 et 3 let. a du règlement du 21 février 2008 concernant les frais, dépens et indemnités fixés par le Tribunal administratif fédéral (FITAF, RS 173.320.2).</w:t>
      </w:r>
    </w:p>
    <w:p>
      <w:r>
        <w:t>(dispositif : page suivante)</w:t>
      </w:r>
    </w:p>
    <w:p>
      <w:r>
        <w:t>E-3009/2024 Page 11</w:t>
      </w:r>
    </w:p>
    <w:p>
      <w:r>
        <w:rPr>
          <w:b/>
        </w:rPr>
        <w:t>E. 7</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w:t>
      </w:r>
    </w:p>
    <w:p>
      <w:r>
        <w:t>S'avérant manifestement infondé, celui-ci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totale doit être rejetée (art. 65 al. 1 PA), de sorte qu'il y a lieu de mettre les frais de procédure à la charge du recourant, conformément aux art. 63 al. 1 PA et ainsi que 2 et 3 let. a du règlement du 21 février 2008 concernant les frais, dépens et indemnités fixés par le Tribunal administratif fédéral (FITAF, RS 173.320.2). (dispositif : page suivante)</w:t>
      </w:r>
    </w:p>
    <w:p>
      <w:r>
        <w:rPr>
          <w:b/>
        </w:rPr>
        <w:t>E. 10</w:t>
      </w:r>
    </w:p>
    <w:p>
      <w:r>
        <w:t>avril 2024 consid. 9.1.1 et réf. cit.). Le recourant provient de la province de Diyarbakir,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Toutefois, il ne ressort du dossier aucun élément dont on pourrait inférer que l'exécution du renvoi mettrait le recourant en danger de manière concrète : il est jeune, en bonne santé, sans charge de famille, a suivi une formation de (…) et a travaillé occasionnellement comme tel (cf. p-v de l’audition du 27 octobre 2023, questions 11 à 13) ; de plus, ses parents ainsi que ses six frères et sœurs se trouvent toujours en Turquie, pour la plupart à Diyarbakir (cf. idem, questions 8, 9 et 15 à 19). Ni lors de son audition ni dans son recours, l’intéressé n’a enfin fait état de problèmes de logement ou d’éventuelles conditions de vie difficiles rencontrées par sa famille jusqu’à son départ, cependant intervenu six mois après le séisme.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