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E-3005/2013 vom 18. November 2013</w:t>
      </w:r>
    </w:p>
    <w:p>
      <w:r>
        <w:t>Bundesverwaltungsgericht, 2013-11-18, DE</w:t>
      </w:r>
    </w:p>
    <w:p>
      <w:r>
        <w:rPr>
          <w:b/>
        </w:rPr>
        <w:t xml:space="preserve">Quelle: </w:t>
      </w:r>
      <w:r>
        <w:t>https://mcp.opencaselaw.ch/entscheid/bvger_E-3005_2013</w:t>
      </w:r>
    </w:p>
    <w:p>
      <w:r>
        <w:t>FR: TAF E-3005/2013 du 18 novembre 2013</w:t>
      </w:r>
    </w:p>
    <w:p>
      <w:r>
        <w:t>IT: TAF E-3005/2013 del 18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führte die Vorinstanz im Wesentlichen aus, etwa 15% der Angehörigen der Gemeinschaft der Yeziden im Irak würden in der Provinz Dohuk leben, rund 85% in der Provinz Ninive und eine kleinere Anzahl in anderen irakischen Städten sowie in Mossul. Die Yeziden würden unter anderem über eine anteilsmässige Vertretung im Parlament verfügen. Die irakische Verfassung von 2005 enthalte zudem verschiedene Bestimmungen zum Schutz der Minderheiten und regle auch die Reli­gionsfreiheit. Die Yeziden würden beispielsweise auch nicht gezwungen, in der Schule am Religionsunterricht teilzunehmen. Es komme zwar zu Diskriminierungen in den autonomen Regionen, die sich in Zwangsenteignungen, im Zugang zum Arbeitsmarkt oder zum Gesundheitswesen äussern würden. Allerdings seien diese Nachteile nicht derart, dass sie als ernsthafte Verfolgungsmassnahmen im Sinn von Art. 3 AsylG beurteilt werden müssten. Gemäss geltender Rechtsprechung (BVGE 2011/16) und Asylpraxis sei nicht von einer Kollektivverfolgung von Yeziden im Irak auszugehen; mit anderen Worten könne allein aufgrund der Zugehörigkeit zur Glaubensgemeinschaft nicht bereits auf eine begründete Furcht vor flüchtlingsrechtlich relevanter Verfolgung geschlossen werden.</w:t>
      </w:r>
    </w:p>
    <w:p>
      <w:r>
        <w:rPr>
          <w:b/>
        </w:rPr>
        <w:t>E. 4.2</w:t>
      </w:r>
    </w:p>
    <w:p>
      <w:r>
        <w:t>In der Beschwerde wird der Sachverhalt erneut dargelegt sowie ausgeführt, es treffe zwar zu, dass Yeziden im Irak politische Ämter bekleiden würden, allerdings seien sie auf regionaler Ebene noch untervertreten. Die auf den ersten Blick hohe Zahl von Yeziden im Irak werde dadurch relativiert, dass diese Glaubensgemeinschaft - zusammen mit anderen kleinen Glaubensrichtungen - nur gerade 3% der Bevölkerung aus­mache, während der Grossteil (97%) Muslime seien. Zudem würden die religiösen Minderheiten im Irak teils sehr verstreut leben. Die irakische Verfassung von 2005 schütze zwar die Minderheiten formell, die Umsetzung dieses Schutzes sei aber fraglich. Entgegen der Auffassung des BFM habe es durchaus Fälle gegeben, in denen Schülerinnen und Schüler gezwungen worden seien, während des Religionsunterrichts im Schulzimmer zu bleiben, und der soziale Druck zur Teilnahme sei sehr gross. Im letzten Jahr habe zudem die Gewalt gegen Yeziden sehr zugenommen und insbesondere auch politisch nicht-aktive Yeziden seien davon betroffen. Dabei seien wiederholt auch Dörfer der Yeziden angezündet worden; besonders Geschäfte, in denen Alkohol verkauft werde, würden zum Ziel von Brandanschlägen, und deren Ladeninhaber würden Opfer von Gewalttaten. Daher müsse nun von einer Bedrohung an Leib und Leben für jeden Yeziden ausgegangen werden. Wirtschaftsflüchtlinge seien zwar keine Flüchtlinge im Sinn des Asyl-gesetzes. Jedoch seien viele gerade junge Leute so verzweifelt, dass sie sich das Leben nehmen würden. Vorliegend beziehe der Vater des Beschwerdeführers nur eine Invalidenrente, die aber nicht einmal für das Essen reiche, geschweige denn für ein menschenwürdiges Leben. Auch dieser Aspekt solle im Entscheid berücksichtigt werden.</w:t>
      </w:r>
    </w:p>
    <w:p>
      <w:r>
        <w:rPr>
          <w:b/>
        </w:rPr>
        <w:t>E. 5.1</w:t>
      </w:r>
    </w:p>
    <w:p>
      <w:r>
        <w:t>Das Bundesverwaltungsgericht hat in seinem unter BVGE 2011/16 publizierten Leitentscheid dargelegt, dass die Anforderungen an die Feststellung einer Kollektivverfolgung sehr hoch sind (vgl. BVGE 2011/16 S. 265 E. 5.1 m.w.H.). Demzufolge reicht allein die Zugehörigkeit zu einem Kollektiv, welches in seinen spezifischen Eigenschaften Ziel einer Verfolgungsmotivation ist, in der Regel nicht, um die Flüchtlingseigenschaft zu begründen. Vielmehr kommen bei geltend gemachter Verfolgung wegen Zugehörigkeit zu einem solchen Kollektiv die Kriterien der ernsthaften Nachteile oder der begründeten Furcht gemäss Art. 3 AsylG zur Anwendung. Dabei muss die betroffene Person zuerst ihre Zugehörigkeit zum entsprechenden Kollektiv nachweisen. In einem zweiten Schritt ist zu prüfen, ob die gegen das Kollektiv erfolgte Massnahme in ihrer Art und Weise gezielt auf dieses gerichtet ist, mithin über das hinausgeht, was andere Teile der Bevölkerung an Nachteilen und Übergriffen hinnehmen müssen. Werden solche Massnahmen gegen ein Kollektiv als gezielt beurteilt, müssen sie eine gewisse Intensität aufweisen, um dem Erfordernis der ernsthaften Nachteile gemäss Art. 3 Abs. 1 AsylG zu genügen. Aus der Verfolgung einzelner, zu einem Kollektiv gehöriger Personen kann dabei jedoch nicht ohne weiteres auf die Verfolgung des Kollektivs als Ganzes geschlossen werden. Die gezielten und intensiven Nachteile müssen vielmehr das Ziel haben, möglichst alle Mitglieder des Kollektivs zu treffen.</w:t>
      </w:r>
    </w:p>
    <w:p>
      <w:r>
        <w:rPr>
          <w:b/>
        </w:rPr>
        <w:t>E. 5.2</w:t>
      </w:r>
    </w:p>
    <w:p>
      <w:r>
        <w:t>Bezüglich der Situation der Yeziden wird im erwähnten Urteil ausgeführt, dass im Irak aktuell etwa 500'000 Angehörige dieser Minderheit leben und diese politisch auf verschiedenen Ebenen vertreten ist (vgl. ausführlich hierzu BVGE 2011/16 E. 7 S. 267 f.). Mit Bezug auf die Region Ninive wird festgestellt, dass sich die Lage dort in der Tat kritisch zeigt, diese namentlich dazu geführt hat, dass viele Yeziden in den sicheren kurdischen Teil des Nordiraks ausweichen (vgl. a.a.O. E. 7.4 S. 271). Es wird jedoch auch festgehalten, dass die asylrelevanten Übergriffe seit 2003 bei weitem nicht jene kritische Verfolgungsdichte erreichen, um von einer Kollektivverfolgung auszugehen, zumal nur ein Bruchteil der yezidischen Bevölkerung namentlich im Zentralirak Opfer solcher Übergriffe geworden sei. Diese Feststellung kann durch den Einwand in der Beschwerde, wonach solche Übergriffe im Jahr 2012 erheblich zugenommen hätten, nicht relativiert werden. Dies gilt vorliegend umso weniger, als der Beschwerdeführer gemäss seinen Angaben zwar ursprünglich in (...) geboren, dann aber in Dohuk im Nordirak aufgewachsen ist. Diese Region im Nordirak ist dabei namentlich für die Religionsangehörigen der Yeziden im publizierten Urteil als sichere Region definiert worden (vgl. oben), welche Einschätzung auch heute noch zutrifft. Der kurdische Beschwerdeführer kann in der nordirakischen Provinz Dohuk gemäss gefestigter Rechtsprechung grundsätzlich auf ein generell funktionierendes Sicherheits- und Justizsystem zählen (vgl. BVGE 2008/4 S. 35 ff.).</w:t>
      </w:r>
    </w:p>
    <w:p>
      <w:r>
        <w:rPr>
          <w:b/>
        </w:rPr>
        <w:t>E. 5.3</w:t>
      </w:r>
    </w:p>
    <w:p>
      <w:r>
        <w:t>Insgesamt hat der Beschwerdeführer keine begründete Furcht vor zukünftiger asylrechtlich relevanter Verfolgung im Sinn von Art. 3 AsylG darlegen können, zumal er sich nie in irgendeiner Weise exponiert hat und auch nie in ein Verfahren verwickelt oder gar deswegen vor Gericht gestanden ist (vgl. Protokoll der Befragung zur Person S. 9). Damit weist der Beschwerdeführer kein individuelles Profil auf, das zur Annahme des Vorliegens von begründeter Furcht vor künftiger Verfolgung führen würde. Das BFM hat nach dem Gesagten sein Asylgesuch zu Recht und mit zutreffender Begründung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Beim Geltendmachen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 / Rudin / Hugi Yar / 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w:t>
      </w:r>
    </w:p>
    <w:p>
      <w:r>
        <w:rPr>
          <w:b/>
        </w:rPr>
        <w:t>E. 7.2.3</w:t>
      </w:r>
    </w:p>
    <w:p>
      <w:r>
        <w:t>Nach dem Gesagten ist der Vollzug der Wegweisung sowohl im Sinn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den drei kurdischen Provinzen des Nordiraks, die unter Kontrolle des so genannten Kurdistan Regional Government (KRG) stehen, herrscht gemäss der aktuellen Rechtsprechung des Bundesverwaltungsgerichts keine Situation allgemeiner Gewalt, und die dortige politische Lage ist nicht dermassen angespannt, dass eine Rückführung als generell unzumutbar betrachtet werden müsste. Die Anordnung des Wegweisungsvollzugs setzt praxisgemäss voraus, dass die betreffende Person ursprünglich aus der Region stammt oder längere Zeit dort gelebt hat und über ein soziales Netz oder über Beziehungen zu den herrschenden Parteien verfügt. Für alleinstehende, gesunde und junge kurdische Männer, die ursprünglich aus dieser KRG-Region stammen und dort nach wie vor über ein soziales Netz oder Parteibeziehungen verfügen, ist der Wegweisungsvollzug in der Regel zumutbar (vgl. BVGE 2008/5 E. 7.5.8 S. 72 f.)</w:t>
      </w:r>
    </w:p>
    <w:p>
      <w:r>
        <w:rPr>
          <w:b/>
        </w:rPr>
        <w:t>E. 7.3.2</w:t>
      </w:r>
    </w:p>
    <w:p>
      <w:r>
        <w:t>Der Beschwerdeführer hat gemäss seinen Angaben seine Kindheit in Dohuk verbracht. Dort lebt seine Familie, das heisst seine Eltern und die jüngeren Geschwister. Gesundheitliche Probleme macht er nicht geltend. Soweit er anführt, gerne in der Schweiz zu arbeiten und seine Familie zu unterstützen, sind diese Ausführungen nicht geeignet, eine konkrete Gefährdung im Sinn von Art. 83 Abs. 4 AuG darzulegen. Seine Familie, namentlich der behinderte Vater, erhält eine kleine Invalidenrente. Dem Beschwerdeführer ist es zuzumuten, sich nach einer Rückkehr erneut um eine Arbeit zu bemühen, zumal er gemäss seinen Angaben vor seiner Ausreise bereits kurze Zeit in einem Restaurant arbeiten und Erfahrungen sammeln konnte. Gemäss seinen Angaben leben verschiedene Geschwister des Vaters in Mosul und in Dohuk. Ausserdem hat er einen Onkel mütterlicherseits erwähnt, der in Deutschland lebt. Es ist davon auszugehen, dass diese familiären Beziehungen die Reintegration des Beschwerdeführers nötigenfalls erleichtern werden. Zudem ist - wie bereits in der ausführlichen Befragung vom 14. März 2013 (vgl. Protokoll S. 10) - auf die Möglichkeit der Einreichung eines Gesuchs um Rückkehrhilfe hinzuweisen.</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damit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Bei diesem Ausgang des Verfahrens wären die Kosten dem Beschwerde­führer aufzuerlegen (Art. 63 Abs. 1 VwVG). Seine prozessuale Bedürftigkeit ist ausgewiesen, und die Rechtsbegehren waren - im massgebenden Moment der Gesuchseinreichung (vgl. EMARK 2000 Nr. 6 E. 9) - nicht aussichtslos im Sinn von Art. 65 Abs. 1 VwVG. In Gutheissung des Gesuchs um Gewährung der unentgeltlichen Prozessführung wird deshalb auf eine Kostenauflage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