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E-3001/2017 vom 5. Juli 2018</w:t>
      </w:r>
    </w:p>
    <w:p>
      <w:r>
        <w:t>Bundesverwaltungsgericht, 2018-07-05, FR</w:t>
      </w:r>
    </w:p>
    <w:p>
      <w:r>
        <w:rPr>
          <w:b/>
        </w:rPr>
        <w:t xml:space="preserve">Quelle: </w:t>
      </w:r>
      <w:r>
        <w:t>https://mcp.opencaselaw.ch/entscheid/bvger_E-3001_2017</w:t>
      </w:r>
    </w:p>
    <w:p>
      <w:r>
        <w:t>FR: TAF E-3001/2017 du 5 juillet 2018</w:t>
      </w:r>
    </w:p>
    <w:p>
      <w:r>
        <w:t>IT: TAF E-3001/2017 del 5 luglio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sérieux de ses motifs.</w:t>
      </w:r>
    </w:p>
    <w:p>
      <w:r>
        <w:rPr>
          <w:b/>
        </w:rPr>
        <w:t>E. 3.2</w:t>
      </w:r>
    </w:p>
    <w:p>
      <w:r>
        <w:t>Les déclarations du recourant, précises et cohérentes, doivent être tenues pour vraisemblables. Cela étant, il en ressort qu'après plusieurs efforts et démarches difficiles, il a finalement été dispensé du service militaire national ; le certificat de libération qu'il a produit le confirme. L'intéressé semble cependant n'avoir pas donné suite à un ordre d'incorporation dans l'armée populaire. Instaurée dans sa forme actuelle en 2012, cette milice supplétive regroupe les personnes exemptées du service militaire, ou l'ayant totalement accompli, pour les astreindre à des périodes de service de patrouille ou de garde, ainsi qu'à des travaux d'ordre civil ; elles ne sont pas rémunérées et doivent servir jusqu'à un âge avancé (cf. analyse SEM, Focus Eritrea-Volksarmee, janvier 2017). Bien qu'un certain flou règne à ce sujet, ainsi qu'un fort degré d'arbitraire, il demeure que les sanctions encourues pour s'être soustrait au service dans l'armée populaire ne sont pas comparables à celle qui menacent les réfractaires au service national. Ceux qui négligent d'accomplir leur service peuvent occasionnellement être détenus pour quelques semaines ou quelques mois, bien que cela n'apparaisse pas courant, et dépende beaucoup des humeurs des autorités locales ; le plus souvent, les réfractaires sont amendés, privés de bons d'alimentation, voient leurs documents d'identité confisqués (ou non délivrés), et leurs familles peuvent faire l'objet de pressions. Il est aussi possible qu'aucune sanction ne soit prise (cf. SEM, op. cit. ; Organisation suisse d'aide aux réfugiés [OSAR], Erythrée : service national, juin 2017). Il a également été constaté qu'en cas de détention, la personne en cause pouvait être libérée, moyennant signature d'un formulaire comprenant une reconnaissance de dette envers l'Etat, ainsi qu'une déclaration de repentir. Dans le cas d'espèce, le recourant n'apparaît donc pas menacé d'une sanction grave, dans le sens où celle-ci devait être aggravée pour des raisons politiques. Lui-même admet que les mesures appliquées se sont limitées à la privation, en ce qui le concernait, des coupons d'alimentation (cf. audition du 14 mars 2017, question 113), sans que ses proches en aient pâti ; l'acte de recours ne fournit aucun renseignement factuel nouveau à cet égard.</w:t>
      </w:r>
    </w:p>
    <w:p>
      <w:r>
        <w:rPr>
          <w:b/>
        </w:rPr>
        <w:t>E. 3.3</w:t>
      </w:r>
    </w:p>
    <w:p>
      <w:r>
        <w:t>S'agissant du départ illégal du recourant d'Erythrée, le Tribunal rappelle que dans son arrêt D-7898/2015 du 30 janvier 2017, publié comme arrêt de référence, il a examiné dans quelle mesure les Erythréens concernés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national, qui font apparaître le requérant comme une personne indésirable aux yeux des autorités érythréennes (cf. arrêt précité, consid. 5.2). Or en l'espèce, aucune de ces conditions n'est réalisée.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L'assistance judiciaire ayant été accordée, il n'y a pas lieu de percevoir de frais (art. 65 al. 1 PA).</w:t>
      </w:r>
    </w:p>
    <w:p>
      <w:r>
        <w:rPr>
          <w:b/>
        </w:rPr>
        <w:t>E. 6.2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n'exerçant pas la profession d'avocat. Seuls les frais nécessaires sont indemnisés (art. 8 al. 2 et 10 al. 2 FITAF). Selon la pratique du Tribunal, le tarif est de 200 à 220 francs pour les avocats, et de 100 à 150 francs pour les autres mandataires.</w:t>
      </w:r>
    </w:p>
    <w:p>
      <w:r>
        <w:rPr>
          <w:b/>
        </w:rPr>
        <w:t>E. 6.3</w:t>
      </w:r>
    </w:p>
    <w:p>
      <w:r>
        <w:t>Dans le cas d'espèce, le Tribunal, au vu des démarches effectuées (étude du dossier, rédaction d'un acte de recours, dépôt d'une attestation d'assistance), fixe, ex aequo et bono, l'indemnité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