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E-3000/2021 vom 15. September 2021</w:t>
      </w:r>
    </w:p>
    <w:p>
      <w:r>
        <w:t>Bundesverwaltungsgericht, 2021-09-15, DE</w:t>
      </w:r>
    </w:p>
    <w:p>
      <w:r>
        <w:rPr>
          <w:b/>
        </w:rPr>
        <w:t xml:space="preserve">Quelle: </w:t>
      </w:r>
      <w:r>
        <w:t>https://mcp.opencaselaw.ch/entscheid/bvger_E-3000_2021</w:t>
      </w:r>
    </w:p>
    <w:p>
      <w:r>
        <w:t>FR: TAF E-3000/2021 du 15 septembre 2021</w:t>
      </w:r>
    </w:p>
    <w:p>
      <w:r>
        <w:t>IT: TAF E-3000/2021 del 15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Da auch der erhobene Kostenvorschuss fristgerecht einging, ist sie zur Einreichung der Beschwerde legitimiert (Art. 105 und Art. 108 Abs. 2 AsylG; Art. 48 Abs. 1, Art. 52 Abs. 1 und Art. 63 Abs. 4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Staatliche Repressalien gegen Familienangehörige von politischen Opponenten können als sogenannte Reflexverfolgung flüchtlingsrechtlich erheblich sein, wenn sie in asylrelevanter Intensität gezielt erfolgen oder mit erheblicher Wahrscheinlichkeit drohen.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4.2</w:t>
      </w:r>
    </w:p>
    <w:p>
      <w:r>
        <w:t>Das SEM führt zur Begründung seiner Verfügung insbesondere aus, der Vater der Beschwerdeführerin weise aufgrund seiner Vergangenheit als Kämpfer und seiner führenden Position innerhalb der tschetschenischen Rebellen zweifellos ein exponiertes Profil auf und es sei festzustellen, dass es in der Türkei bis 2016 immer wieder Morde an ehemaligen tschetschenischen Kämpfern gegeben habe. Dem SEM seien allerdings weder solche Fälle aus den letzten Jahren in der Türkei bekannt noch solche, bei welchen Familienmitglieder Reflexverfolgungen in der Türkei zu befürchten gehabt hätten. Auch unter Einbezug ihrer persönlichen Situation lägen keine konkreten verdichteten Hinweise vor, dass sie und ihr Kind in der Türkei mit beachtlicher Wahrscheinlichkeit mit flüchtlingsrechtlich relevanten Nachteilen konfrontiert werden würden. Die Beschwerdeführerin sei mit ihrer Familie als etwa (...)jähriges Mädchen von Tschetschenien in die Türkei gekommen und habe danach über (...) Jahre in der Türkei verbracht, ohne dass es je zu einem relevanten gegen sie gerichteten Vorfall gekommen sei; dies obwohl zwei von ihren Geschwistern zwecks Studiums nicht mehr zu Hause leben würden und gemäss ihren Aussagen von tschetschenischer Seite alles versucht werde, um an ihren Vater heranzukommen. Auf den Vorhalt, die Vorbringen würden alle auf Mutmassungen basieren, habe die Beschwerdeführerin lediglich auf vergangene Ereignisse in Tschetschenien verwiesen. Der einzig konkrete Vorfall, welcher sich zugetragen habe, habe ihren Vater betroffen, welcher angegriffen worden sei, als er mit dem Auto unterwegs gewesen sei. Dieser Angriff liege aber mehr als fünf Jahre zurück und habe nicht auf die Beschwerdeführerin abgezielt. Nach dem Umzug von Istanbul nach H._______ sei kein solcher Angriff mehr erfolgt, insbesondere auch, weil ihr Vater eine Kontaktperson beim türkischen Geheimdienst habe, welcher ihn jeweils - letztmalig vor nunmehr zwei Jahren - gewarnt habe, wenn angebliche Auftragsmörder gegen den Vater losgeschickt worden seien. Konsequenzen seien bis heute nicht eingetreten. Im Weiteren sei nicht erkennbar, dass sich die Gefahrenlage für ihren Vater und daher auch potentiell für sie selber in den letzten Jahren zugespitzt habe, da der befreundete Geheimdienstmitarbeiter sie bei Gefahr warnen würde und die Familie seit nunmehr über einem Jahr die Adresse nicht gewechselt habe - obwohl sie dies zur Sicherheit und in ähnlichen Situationen mehrere Male gemacht habe. Auch zeuge die berufliche Tätigkeit ihres Vaters nicht davon, dass sich die Gefahrenlage erhöht habe, sei er doch Mitinhaber und Geschäftsführer eines auf internationale Kundschaft ausgerichteten Geschäfts und in letzter Zeit auch im Ausland tätig. Auch sei nicht ersichtlich, inwiefern eine Visumserleichterung für russische Staatsbürger eine gesteigerte Gefahr für die Beschwerdeführerin und ihre Familie bedeuten könne, da bei einer Verfolgung seitens des russischen oder tschetschenischen Geheimdiensts Visarestriktionen kein echtes Hindernis darstellen würden. Im Übrigen sei die Beschwerdeführerin seit mehr als sieben Jahren Inhaberin der türkischen Staatsbürgerschaft und könne auf den Schutz der Türkei zurückgreifen, insbesondere, da gemäss ihren Aussagen der türkische Staat über die wahre Identität der Familie Bescheid wisse. Eine faktische Garantie des Schutzgewährers für langfristigen individuellen Schutz könne aber nicht verlangt werden, da kein Staat - auch die Schweiz nicht - die absolute Sicherheit seiner Bürger jederzeit und überall garantieren könne.</w:t>
      </w:r>
    </w:p>
    <w:p>
      <w:r>
        <w:rPr>
          <w:b/>
        </w:rPr>
        <w:t>E. 4.3</w:t>
      </w:r>
    </w:p>
    <w:p>
      <w:r>
        <w:t>Die Beschwerdeführerin bringt in der Beschwerdeschrift und in der Eingabe vom 23. Juli 2021 im Wesentlichen vor, aufgrund der schweren systematischen und wiederholten Eingriffe in ihre Menschenrechte sei ein menschenwürdiges Leben in der Türkei nicht mehr möglich (ständiger Wohnortwechsel, versuchte Anschläge auf ihren Vater, Vergiftung eines Cousins ihrer Mutter, keine Registrierung von Autos oder Häusern auf den eigenen Namen usw.). Im Weiteren lebe sie wegen ihres Vaters seit ihrer Kindheit mit der Angst, Opfer eines gezielten Anschlages zu werden, wobei sie sich fühle, als wäre sie im Gefängnis. Als ihr Vater 2019 wegen eines geplanten Attentatsversuchs gewarnt worden sei, habe es ihr den Rest gegeben. Die erlittenen Eingriffe seien daher geeignet, einen unerträglichen psychischen Druck im Sinne von Art. 3 Abs. 2 AsylG zu bewirken. Entgegen den Ausführungen der Vorinstanz zur Schutzfähigkeit und dem Schutzwillen der Türkei sei der türkische Staat nicht dafür bekannt, Morde auf seinem Boden verhindern zu wollen oder zu können. Ebenfalls erweise sich die Annahme als falsch, die Türkei habe von der Situation ihres Vaters gewusst und schütze ihn deswegen. Die Familie habe in der Türkei lediglich einen sogenannten Gaststatus erhalten und sei im Rahmen einer humanitären Aktion eingebürgert worden. Die Warnungen vor Attentaten auf ihren Vater von einem seiner Freunde seien lediglich ein Freundschaftsdienst desselben und kein Staatsakt. Somit könne nicht ohne Weiteres von der Schutzfähigkeit und Schutzwilligkeit des türkischen Regimes ausgegangen werden. Es sei abschliessend zu erwähnen, dass in der Zwischenzeit ein YouTube Video über den Vater aufgetaucht sei, in welchem der Aufenthaltsort desselben genannt werde.</w:t>
      </w:r>
    </w:p>
    <w:p>
      <w:r>
        <w:rPr>
          <w:b/>
        </w:rPr>
        <w:t>E. 5.1</w:t>
      </w:r>
    </w:p>
    <w:p>
      <w:r>
        <w:t>Nach Prüfung der Akten durch das Gericht ist in Übereinstimmung mit der Vorinstanz festzustellen, dass die Asylvorbringen der Beschwerdeführerin den Anforderungen an die Flüchtlingseigenschaft gemäss Art. 3 AsylG nicht standzuhalten vermögen, weshalb vorab auf die zutreffenden und ausführlichen Erwägungen der Vorinstanz zu verweisen ist. Insbesondere ist das Bestehen einer begründeten Furcht vor zukünftiger Reflexverfolgung zu verneinen und die entsprechenden vorinstanzlichen Ausführungen sind zu bestätigen. Aufgrund der Aktenlage ist namentlich nicht davon auszugehen, dass die Beschwerdeführerin im Falle ihrer Rückkehr in die Türkei in absehbarer Zukunft wegen ihres Vaters eine asylbeachtliche Verfolgung zu gewärtigen hätte. Mithin hat es in der Vergangenheit weder gegen die Beschwerdeführerin noch gegen ihre Geschwister, welche nicht mehr zuhause leben würden, asylrelevante Vorfälle gegeben (SEM-act. 1062283-22, F108). Ebenfalls ist das ausschlaggebende Ereignis für die Flucht, nämlich die Warnung ihres Vaters durch den befreundeten türkischen Geheimdienstmitarbeiter vor einem bevorstehenden Anschlag, nicht geeignet, eine Reflexverfolgung der Beschwerdeführerin zu begründen, da den Angaben zufolge ausschliesslich ihr Vater das Ziel gewesen ist. Wenn die Beschwerdeführerin eine sie betreffende Reflexverfolgung geltend macht, in dem sie den vermeintlich gleichgelagerten Fall vorbringt, ein Cousin ihrer Mutter, welcher mit ihrem Vater an einem Attentat auf ein Krankenhaus teilgenommen haben soll, sei vergiftet worden (SEM-act. 1062283-22, F12), verkennt sie, dass bei Wahrunterstellung dieser unbelegten Behauptung, dieser, im Gegensatz zur Beschwerdeführerin, sich mit der Teilnahme am Attentat politisch exponiert hat. Seine Tötung scheint somit nicht in Zusammenhang mit den Handlungen ihres Vaters zu stehen, sondern mit seinen eigenen. Zu den vorgebrachten Bemühungen, im Schutze der Anonymität leben zu wollen, indem die Familie ständig den Wohnort gewechselt und das Haus sowie das Auto auf andere Personen registriert habe, passt nicht, dass der Vater Geschäftsführer und Inhaber einer international tätigen Firma ist, wo er sich mithin öffentlich exponieren muss. Es erscheint daher unwahrscheinlich, dass die Beschwerdeführerin wegen ihres Vaters als einzige Angehörige einer asylbeachtlichen Reflexverfolgung ausgesetzt wäre.</w:t>
      </w:r>
    </w:p>
    <w:p>
      <w:r>
        <w:rPr>
          <w:b/>
        </w:rPr>
        <w:t>E. 5.2</w:t>
      </w:r>
    </w:p>
    <w:p>
      <w:r>
        <w:t>Betreffend das beschwerdeseitige Vorbringen, es könne nicht ohne weiteres von der Schutzfähigkeit und dem Schutzwillen der Türkei ausgegangen werden, kann gemäss der bundesverwaltungsgerichtlichen Rechtsprechung festgehalten werden, dass der türkische Staat die Voraussetzungen erfüllt, wonach dieser fähig und willens ist, Schutz vor Verfolgung Dritter zu bieten und eine funktionierende und effiziente Schutzinfrastruktur zur Verfügung zu stellen (vgl. Urteil des BVGer E-1280/2021 vom 20. April 2021). Die Beschwerdeführerin, welche im Übrigen türkische Staatsbürgerin ist, kann sich bei Nachstellungen oder Behelligungen an die türkischen Behörden wenden.</w:t>
      </w:r>
    </w:p>
    <w:p>
      <w:r>
        <w:rPr>
          <w:b/>
        </w:rPr>
        <w:t>E. 5.3</w:t>
      </w:r>
    </w:p>
    <w:p>
      <w:r>
        <w:t>Nach dem Gesagten ist festzustellen, dass es der Beschwerdeführerin nicht gelungen ist, einen flüchtlingsrechtlich bedeutsamen Sachverhalt darzulegen. Die Feststellung der Vorinstanz, die Beschwerdeführerin erfülle die Flüchtlingseigenschaft nicht, ist dementsprechend zu bestätigen. Die Vorinstanz hat das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6.2.1</w:t>
      </w:r>
    </w:p>
    <w:p>
      <w:r>
        <w:t>Hinsichtlich der Wegweisung führt die Vorinstanz aus, dass Art. 8 EMRK keine Anwendung auf die Beschwerdeführerin finde. Weder bei einer F-Bewilligung (vorläufige Aufnahme) noch bei einer B-Bewilligung nach einer Härtefallregelung, über die D._______ seit Anfang dieses Jahres verfüge, bestehe ein Anspruch auf Verlängerung. Zudem sei der bald zehnjährige Aufenthalt von D._______ insgesamt als zu kurz einzustufen, als dass von einem faktischen Anwesenheitsrecht auszugehen sei (unter Verweis auf BGE 130 II 281 E. 3.2 und 3.3).</w:t>
      </w:r>
    </w:p>
    <w:p>
      <w:r>
        <w:rPr>
          <w:b/>
        </w:rPr>
        <w:t>E. 6.2.2</w:t>
      </w:r>
    </w:p>
    <w:p>
      <w:r>
        <w:t>Die Beschwerdeführerin entgegnet, dass bei Vorliegen einer schützenswerten gelebten familiären Beziehung die Anrufung von Art. 8 EMRK grundsätzlich, unabhängig vom Aufenthaltsstatus, möglich sei. Es läge vorliegend zweifelsfrei ein intaktes, tatsächlich gelebtes Familienverhältnis vor, da die Beschwerdeführerin mit D._______ religiös verheiratet sei und mit ihm seit August 2019 zusammenlebe. Zudem seien sie am 1. März 2021 Eltern eines gemeinsamen Kindes geworden und ihre Trauung stehe kurz bevor.</w:t>
      </w:r>
    </w:p>
    <w:p>
      <w:r>
        <w:rPr>
          <w:b/>
        </w:rPr>
        <w:t>E. 6.3.1</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Als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Weiter muss es sich beim in der Schweiz lebenden Familienmitglied grundsätzlich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Familienlebens können sich in Ausnahmesituationen nach der Rechtsprechung des Europäischen Gerichtshofes für Menschenrechte (EGMR) und des Bundesgerichts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130 II 281 E.3.2.2 m.w.H. sowie Urteile des BGer 2C_639/2012 vom 13. Februar 2013 E. 1.2.2 und 4.4; 2C_1045/2014 vom 26. Juni 2015 E. 1.1.3; 2C_360/2016 vom 31. Januar 2017 E. 5.2; vgl. zur Rechtsprechung des EGMR die Urteile Jeunesse gegen Niederlande vom 3. Oktober 2014, 12738/10, § 103 ff. m.w.H., Agraw gegen Schweiz vom 29. Juli 2010, 3295/06, § 44 ff. und Mengesha Kimfe gegen Schweiz vom 29. Juli 2010, 24404/05, § 61 ff.).</w:t>
      </w:r>
    </w:p>
    <w:p>
      <w:r>
        <w:rPr>
          <w:b/>
        </w:rPr>
        <w:t>E. 6.3.2</w:t>
      </w:r>
    </w:p>
    <w:p>
      <w:r>
        <w:t>Das Gericht kommt zum Schluss, dass es sich vorliegend nicht um eine nahe, echte und tatsächlich gelebte familiäre Beziehung handelt. Die Beschwerdeführerin hat D._______ im Jahr (...) telefonisch kennengelernt und bis zu ihrer Einreise im Jahr (...) nie persönlich getroffen. Einen Tag vor der Abreise in die Schweiz haben sie sich, wiederum telefonisch, religiös getraut. Obwohl beschwerdeseitig unter Verweis auf das Urteil des BVGer E-7092/2017 vom 25. Januar 2021 E. 12.2 vorgebracht wird, dass zur Beurteilung der nahen, echten und tatsächlich gelebten familiären Beziehung Faktoren wie das gemeinsame Wohnen respektive der gemeinsame Haushalt, die finanzielle Verflochtenheit, die Dauer und Stabilität der Beziehung sowie das Interesse und die Bindung der Partner aneinander zu berücksichtigen sei, wird darauf nur sehr oberflächlich respektive gar nicht eingegangen. Die dafür eingereichten Beweismittel vermögen die geltend gemachte familiäre Beziehung ebenfalls nicht zu belegen. Der Beschwerdeführerin gelingt es mit ihren Vorbringen offensichtlich nicht, die familiäre Beziehung in den erwähnten Facetten substantiiert darzutun. Daran vermag weder die Geburt des Kindes noch das in der Schweiz eingeleitete Ehevorbereitungsverfahren respektive die von der Beschwerdeführerin mit Eingabe vom 23. Juli 2021 in Aussicht gestellte Trauung vom 31. August 2021 etwas zu ändern. Nach dem Gesagten kann offenbleiben, ob es sich bei D._______ um eine Person handelt, die in der Schweiz über ein gefestigtes Anwesenheitsrecht verfügt oder deren Anwesenheit faktisch als Realität hingenommen wird respektive aus objektiven Gründen hingenommen werden muss. Der Beschwerdeführerin bleibt die Anrufung von Art. 8 EMRK verwehrt.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der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(Türkei) ist demnach unter dem Aspekt von Art. 5 AsylG rechtmässig. Sodann ergeben sich weder aus ihren Aussagen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erscheinen lassen würde. Die Beschwerdeführerin habe vor ihrer Ausreise in der Provinz H._______ gelebt. Sie sei eine junge Frau bei guter Gesundheit, welche in der Türkei über ein stabiles familiäres Beziehungsnetz verfüge. Es sei auch zu erwarten, dass sie von der Familie finanziell unterstützt werde, zumal ihr Vater zuletzt Mitinhaber einer Firma gewesen sei, die medizinische Dienstleistungen an ausländische Personen anbiete. Zudem besitze die Familie Wohneigentum. Im Weiteren verfüge die Beschwerdeführerin über einen Universitätsabschluss und habe im Betrieb ihres Vaters bereits erste Arbeitserfahrung sammeln können. Ebenso sei in der Geburt ihres Sohnes am (...) kein Hindernis für den Wegweisungsvollzug zu erblicken. Das Bundesverwaltungsgericht schliesst sich dieser Einschätzung an. Somit ist der Vollzug der Wegweisung auch zumutbar.</w:t>
      </w:r>
    </w:p>
    <w:p>
      <w:r>
        <w:rPr>
          <w:b/>
        </w:rPr>
        <w:t>E. 7.4</w:t>
      </w:r>
    </w:p>
    <w:p>
      <w:r>
        <w:t>Gemäss Art. 44 AsylG ist beim Vollzug einer angeordneten Wegweisung der Grundsatz der Einheit der Familie zu berücksichtigen. Art. 44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c/ee; 1995 Nr. 24 E. 9, die sich hierfür freilich noch auf Art. 17 Abs. 1 AsylG in der Fassung gemäss Ziff. I des BB vom 22. Juni 1990 über das Asylverfahren [AS 1990 938] beziehen, welcher inhaltlich indessen Art. 44 AsylG entspricht). In personeller Hinsicht umfasst der Begriff der Familie dabei den Ehepartner und die minderjährigen Kinder, wobei der in dauerhaft eheähnlicher Gemeinschaft lebende Partner dem Ehepartner gleichzustellen ist (vgl. EMARK 1995 Nr. 24 E. 7). Die vorerwähnte Regel gilt jedoch nicht ausnahmslos. Der Grundsatz der Einheit der Familie gelangt unter anderem dann nicht zur Anwendung, wenn die einzubeziehende Person - wie vorliegend die Beschwerdeführerin - in die Schweiz eingereist ist, nachdem ein Familienmitglied - wie vorliegend D._______ - die vorläufige Aufnahme erhalten hat, da in dieser Konstellation von einer Umgehung der ausländerrechtlichen Nachzugsbestimmungen gemäss Art. 85 Abs. 7 AIG auszugehen ist (vgl. BVGE 2017 VII/8 E. 5.3). Darüber hinaus stellt das Verheimlichen der religiösen Heirat im Antrag auf ein Touristenvisum, eine - wie schon die Vorinstanz richtigerweise festgestellt hat - bewusste Umgehung der Nachzugsbestimmungen von Art. 44 AIG bzw. Art. 85 Abs. 7 AIG dar, was in der Folge dazu führt, dass Art. 44 AsylG nicht angewendet werden kann. Im Weiteren kann auf die in jeder Hinsicht zutreffenden Verfügung der Vorinstanz verwiesen werden.</w:t>
      </w:r>
    </w:p>
    <w:p>
      <w:r>
        <w:rPr>
          <w:b/>
        </w:rPr>
        <w:t>E. 7.5</w:t>
      </w:r>
    </w:p>
    <w:p>
      <w:r>
        <w:t>Schliesslich obliegt es der Beschwerdeführerin,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