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E-29/2026 vom 20. April 2026</w:t>
      </w:r>
    </w:p>
    <w:p>
      <w:r>
        <w:t>Bundesverwaltungsgericht, 2026-04-20, FR</w:t>
      </w:r>
    </w:p>
    <w:p>
      <w:r>
        <w:rPr>
          <w:b/>
        </w:rPr>
        <w:t xml:space="preserve">Quelle: </w:t>
      </w:r>
      <w:r>
        <w:t>https://mcp.opencaselaw.ch/entscheid/bvger_E-29_2026</w:t>
      </w:r>
    </w:p>
    <w:p>
      <w:r>
        <w:t>FR: TAF E-29/2026 du 20 avril 2026</w:t>
      </w:r>
    </w:p>
    <w:p>
      <w:r>
        <w:t>IT: TAF E-29/2026 del 20 aprile 2026</w:t>
      </w:r>
    </w:p>
    <w:p>
      <w:pPr>
        <w:pStyle w:val="Heading2"/>
      </w:pPr>
      <w:r>
        <w:t>Regeste</w:t>
      </w:r>
    </w:p>
    <w:p>
      <w:r>
        <w:t>Délais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L'écrit du 2 janvier 2026 est irrecevable, en tant qu'il constitue une demande de restitution du délai de paiement de l'avance sur les frais de procédure du 18 novembre 2025 (cause E-7570/2025).</w:t>
      </w:r>
    </w:p>
    <w:p>
      <w:r>
        <w:rPr>
          <w:b/>
        </w:rPr>
        <w:t>E. 2</w:t>
      </w:r>
    </w:p>
    <w:p>
      <w:r>
        <w:t>L'écrit du 2 janvier 2026 est rejeté, en tant qu'il constitue une demande de révision de l'arrêt du Tribunal du 11 décembre 2025 (cause E-7570/2025).</w:t>
      </w:r>
    </w:p>
    <w:p>
      <w:r>
        <w:rPr>
          <w:b/>
        </w:rPr>
        <w:t>E. 3</w:t>
      </w:r>
    </w:p>
    <w:p>
      <w:r>
        <w:t>Les frais de procédure, d'un montant de 2'000 francs, sont mis à la charge du requérant. Ce montant doit être versé sur le compte du Tribunal dans les trente (30)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requérant, au SEM et à l'autorité cantonale. Le président du collège : Le greffier : Grégory Sauder Jean-Luc Bettin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