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E-2999/2025 vom 15. April 2025</w:t>
      </w:r>
    </w:p>
    <w:p>
      <w:r>
        <w:t>Bundesverwaltungsgericht, 2025-04-15, DE</w:t>
      </w:r>
    </w:p>
    <w:p>
      <w:r>
        <w:rPr>
          <w:b/>
        </w:rPr>
        <w:t xml:space="preserve">Quelle: </w:t>
      </w:r>
      <w:r>
        <w:t>https://mcp.opencaselaw.ch/entscheid/bvger_E-2999_2025_d20250415</w:t>
      </w:r>
    </w:p>
    <w:p>
      <w:r>
        <w:t>FR: TAF E-2999/2025 du 15 avril 2025</w:t>
      </w:r>
    </w:p>
    <w:p>
      <w:r>
        <w:t>IT: TAF E-2999/2025 del 15 aprile 2025</w:t>
      </w:r>
    </w:p>
    <w:p>
      <w:pPr>
        <w:pStyle w:val="Heading2"/>
      </w:pPr>
      <w:r>
        <w:t>Regeste</w:t>
      </w:r>
    </w:p>
    <w:p>
      <w:r>
        <w:t>Nichteintreten auf Asylgesuch und Wegweisung (sicherer Drittstaat - Art. 31a Abs. 1 Bst. a AsylG) | Nichteintreten auf Asylgesuch und Wegweisung (sicherer Drittstaat); Verfügung des SEM vom 15.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 unter dem folgenden Vorbehalt – einzutreten.</w:t>
      </w:r>
    </w:p>
    <w:p>
      <w:r>
        <w:rPr>
          <w:b/>
        </w:rPr>
        <w:t>E. 1.4</w:t>
      </w:r>
    </w:p>
    <w:p>
      <w:r>
        <w:t>Auf das Begehren der Beschwerdeführerinnen auf Erteilung der auf- schiebenden Wirkung der Beschwerde ist mangels Rechtsschutzinteres- ses nicht einzutreten, weil ihr Rechtsmittel von Gesetzes wegen aufschie- bende Wirkung hat und diese von der Vorinstanz nicht entzogen wurde (Art. 55 Abs. 1 und 2 VwVG). Die Beschwerdeführerinnen durften deshalb den Entscheid in der Schweiz abwarten (Art. 42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In Anwendung von Art. 111a Abs. 1 AsylG wurde auf die Durchführung ei- nes Schriftenwechsels verzichtet.</w:t>
      </w:r>
    </w:p>
    <w:p>
      <w:r>
        <w:t>E-2999/2025 Seite 6</w:t>
      </w:r>
    </w:p>
    <w:p>
      <w:r>
        <w:rPr>
          <w:b/>
        </w:rPr>
        <w:t>E. 4</w:t>
      </w:r>
    </w:p>
    <w:p>
      <w:r>
        <w:t>Bei Beschwerden gegen Nichteintretensentscheide, mit denen es die Vor- instanz ablehnt, das Asylgesuch auf seine Begründetheit hin zu überprüfen (Art. 31a Abs.1–3 AsylG), ist die Beurteilungskompetenz der Beschwer- deinstanz grundsätzlich auf die Frage beschränkt, ob die Vorinstanz zu Recht auf das Asylgesuch nicht eingetreten ist (vgl. BVGE 2017 VI/5 E. 3.1 und 2012/4 E. 2.2, je m.w.H.). Bei der Frage der Wegweisung und des Wegweisungsvollzugs hat das SEM hingegen eine materielle Beurteilung vorgenommen, weshalb das Bundesverwaltungsgericht diese Punkte insoweit ohne Einschränkung prüft.</w:t>
      </w:r>
    </w:p>
    <w:p>
      <w:r>
        <w:rPr>
          <w:b/>
        </w:rPr>
        <w:t>E. 5</w:t>
      </w:r>
    </w:p>
    <w:p>
      <w:r>
        <w:t>Die Beschwerdeführerinnen beantragen die Kassation der angefochtenen Verfügung. Dieses Rechtsbegehren wird in der Beschwerde nicht begrün- det. Eine Durchsicht der Akten ergibt, dass das SEM den rechtserheblichen Sachverhalt – unter Wahrung der Verfahrensrechte der Beschwerdeführe- rinnen – korrekt und vollständig festgestellt hat. Für die beantragte Rück- weisung der Sache an die Vorinstanz besteht keine Veranlassung.</w:t>
      </w:r>
    </w:p>
    <w:p>
      <w:r>
        <w:rPr>
          <w:b/>
        </w:rPr>
        <w:t>E. 6.1</w:t>
      </w:r>
    </w:p>
    <w:p>
      <w:r>
        <w:t>Der Bundesrat bezeichnet Staaten, in denen nach seinen Feststellun- gen effektiver Schutz vor Rückschiebung im Sinn von Art. 5 Abs. 1 AsylG besteht, als sichere Drittstaaten (Art. 6a Abs. 2 Bst. b AsylG). Gemäss Art. 31a Abs. 1 Bst. a AsylG wird auf ein Asylgesuch nicht eingetreten, wenn die asylsuchende Person in einen solchen sicheren Drittstaat zurück- kehren kann, in welchem sie sich vorher aufgehalten hat.</w:t>
      </w:r>
    </w:p>
    <w:p>
      <w:r>
        <w:rPr>
          <w:b/>
        </w:rPr>
        <w:t>E. 6.2</w:t>
      </w:r>
    </w:p>
    <w:p>
      <w:r>
        <w:t>Die Vorinstanz hat in der angefochtenen Verfügung zutreffend festge- stellt, dass es sich bei Frankreich um einen sicheren Drittstaat im Sinn von Art. 6a Abs. 2 Bst. b AsylG handelt. Mit Beschluss des Bundesrats vom 14. Dezember 2007 wurden sämtliche Länder der Europäischen Union (EU) und der Europäischen Freihandelsassoziation (EFTA) als sichere Drittstaaten bezeichnet. Es ist unbestritten, dass den Beschwerdeführer- innen in Frankreich internationaler Schutz gewährt worden ist und die fran- zösischen Behörden am 5. Februar 2025 ihrer Rückübernahme ausdrück- lich zugestimmt haben (vgl. SEM-act. 35/1).</w:t>
      </w:r>
    </w:p>
    <w:p>
      <w:r>
        <w:rPr>
          <w:b/>
        </w:rPr>
        <w:t>E. 6.3</w:t>
      </w:r>
    </w:p>
    <w:p>
      <w:r>
        <w:t>Das SEM ist zu Recht in Anwendung von Art. 31a Abs. 1 Bst. a AsylG auf die Asylgesuche nicht eingetreten.</w:t>
      </w:r>
    </w:p>
    <w:p>
      <w:r>
        <w:t>E-2999/2025 Seite 7</w:t>
      </w:r>
    </w:p>
    <w:p>
      <w:r>
        <w:rPr>
          <w:b/>
        </w:rPr>
        <w:t>E. 7.1</w:t>
      </w:r>
    </w:p>
    <w:p>
      <w:r>
        <w:t>Lehnt das SEM das Asylgesuch ab oder tritt es darauf nicht ein, verfügt es in der Regel die Wegweisung aus der Schweiz und ordnet den Vollzug an (Art. 44 AsylG).</w:t>
      </w:r>
    </w:p>
    <w:p>
      <w:r>
        <w:rPr>
          <w:b/>
        </w:rPr>
        <w:t>E. 7.2</w:t>
      </w:r>
    </w:p>
    <w:p>
      <w:r>
        <w:t>Die Beschwerdeführerinnen verfügen in der Schweiz weder über eine ausländerrechtliche Aufenthaltsbewilligung noch über einen Anspruch auf Erteilung einer solchen. Ihre Wegweisung wurde demnach ebenfalls zu Recht angeordnet (Art. 44 AsylG; vgl. BVGE 2013/37 E. 4.4 und 2009/50 E. 9, je m.w.H.).</w:t>
      </w:r>
    </w:p>
    <w:p>
      <w:r>
        <w:rPr>
          <w:b/>
        </w:rPr>
        <w:t>E. 8.1</w:t>
      </w:r>
    </w:p>
    <w:p>
      <w:r>
        <w:t>Es bleibt zu prüfen, ob es Gründe gibt, die dem Vollzug der Wegwei- sung der Beschwerdeführerinnen nach Frankreich entgegenstehen. Ist der Vollzug der Wegweisung nicht zulässig, nicht zumutbar oder nicht möglich, regelt die Vorinstanz das Anwesenheitsverhältnis nach den gesetzlichen Bestimmungen über die vorläufige Aufnahme (Art. 44 AsylG i.V.m. Art. 83 Abs. 2-4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9.2</w:t>
      </w:r>
    </w:p>
    <w:p>
      <w:r>
        <w:t>Frankreich ist ein sicherer Drittstaat, in welchem die Beschwerdeführe- rinnen Schutz vor Rückschiebung im Sinn von Art. 5 Abs. 1 AsylG finden. Das Land ist Signatarstaat der EMRK, der FoK und der FK sowie des Zu- satzprotokolls der FK vom 31. Januar 1967 (SR 0.142.301) und kommt sei- nen diesbezüglichen völkerrechtlichen Verpflichtungen nach.</w:t>
      </w:r>
    </w:p>
    <w:p>
      <w:r>
        <w:t>E-2999/2025 Seite 8</w:t>
      </w:r>
    </w:p>
    <w:p>
      <w:r>
        <w:rPr>
          <w:b/>
        </w:rPr>
        <w:t>E. 9.3</w:t>
      </w:r>
    </w:p>
    <w:p>
      <w:r>
        <w:t>Soweit die Beschwerdeführerinnen in ihrem Rechtsmittel auf die Ge- fährdung durch ihren Ex-Partner beziehungsweise Vater hinweisen, der sie wiederholt bedroht habe und sie auch nach der Auflösung der Familien- gemeinschaft immer wieder habe ausfindig machen können, ist Folgendes festzustellen:</w:t>
      </w:r>
    </w:p>
    <w:p>
      <w:r>
        <w:rPr>
          <w:b/>
        </w:rPr>
        <w:t>E. 9.3.1</w:t>
      </w:r>
    </w:p>
    <w:p>
      <w:r>
        <w:t>Zunächst fällt bei Durchsicht der Akten auf, dass diese Gefährdung auf Beschwerdeebene etwas akzentuierter beschrieben wird als zu Beginn des erstinstanzlichen Verfahrens; beispielsweise hatte die Beschwerde- führerin 1 im Rahmen des rechtlichen Gehörs zum Nichteintretensent- scheid (vgl. SEM-act. 22/11) noch nicht geltend gemacht, der Ex-Partner habe damit gedroht, die Töchter in seinen Heimatstaat zu entführen (vgl. Beschwerde S. 3).</w:t>
      </w:r>
    </w:p>
    <w:p>
      <w:r>
        <w:rPr>
          <w:b/>
        </w:rPr>
        <w:t>E. 9.3.2</w:t>
      </w:r>
    </w:p>
    <w:p>
      <w:r>
        <w:t>Ungeachtet der Frage der Glaubhaftigkeit dieser Vorbringen ist mit dem SEM festzuhalten, dass es sich bei Frankreich um einen Staat mit einem funktionierenden Justiz- und Polizeisystem handelt, der Schutz vor Übergriffen Dritter bieten kann (vgl. beispielsweise etwa Urteile BVGer D-4713/2024 vom 5. August 2024 E. 7.3, E-1811/2024 vom 28. März 2024 E. 6.6, E-3351/2023 vom 21. Juni 2023 S. 9, D-5405/2022 vom 30. No- vember 2022 S. 9, F-218/2020 vom 20. Januar 2020 E. 7.2 m.w.H.). Zudem erscheint die Vorstellung abwegig, der algerische Ex-Partner/Vater könne die Beschwerdeführerinnen – die in Frankreich als Flüchtlinge aner- kannt worden sind – im flächenmässig riesigen Nachbarstaat der Schweiz jederzeit und überall aufspüren (vgl. Beschwerde S. 3 f.).</w:t>
      </w:r>
    </w:p>
    <w:p>
      <w:r>
        <w:rPr>
          <w:b/>
        </w:rPr>
        <w:t>E. 9.3.3</w:t>
      </w:r>
    </w:p>
    <w:p>
      <w:r>
        <w:t>An diesen Feststellungen ändert auch der Umstand nichts, dass die französischen Behörden die Information des SEM, die Beschwerdeführe- rinnen sollten wegen der drohenden häuslichen Gewalt nicht an ihren bis- herigen französischen Aufenthaltsort zurückkehren müssen, mit der Auffor- derung beantworteten, diese müssten ihr Bedürfnis nach der Wieder- einreise bei den zuständigen Polizeibehörden deponieren (vgl. SEM- act. 45/1 und 50/4).</w:t>
      </w:r>
    </w:p>
    <w:p>
      <w:r>
        <w:rPr>
          <w:b/>
        </w:rPr>
        <w:t>E. 9.3.4</w:t>
      </w:r>
    </w:p>
    <w:p>
      <w:r>
        <w:t>Zu Recht hat das SEM darauf hingewiesen, dass es sich beim Vor- bringen der Beschwerdeführerinnen, die französischen Behörden hätten ihnen mehrmals die nötige Unterstützung und Hilfe verweigert, um unsub- stanziierte und unbelegte Behauptungen handle (vgl. angefochtene Verfü- gung S. 4).</w:t>
      </w:r>
    </w:p>
    <w:p>
      <w:r>
        <w:t>E-2999/2025 Seite 9</w:t>
      </w:r>
    </w:p>
    <w:p>
      <w:r>
        <w:rPr>
          <w:b/>
        </w:rPr>
        <w:t>E. 9.3.5</w:t>
      </w:r>
    </w:p>
    <w:p>
      <w:r>
        <w:t>Im Übrigen ist der Beschwerdeführerin 1 der Aufenthaltsort des Ex- Partners nicht bekannt. Sie hatte in der Stellungnahme vom 4. Juni 2024 ausführen lassen, er habe sie am 24. Mai 2024 von einer Schweizer Tele- fonnummer aus zu erreichen versucht, und es könne deshalb sein, dass er sich ebenfalls in der Schweiz aufhalte (vgl. SEM-act. 22/11 S. 2).</w:t>
      </w:r>
    </w:p>
    <w:p>
      <w:r>
        <w:rPr>
          <w:b/>
        </w:rPr>
        <w:t>E. 9.3.6</w:t>
      </w:r>
    </w:p>
    <w:p>
      <w:r>
        <w:t>Unter diesen sachverhaltlichen Umständen können die Beschwerde- führerinnen aus den Übereinkommen vom 20. November 1989 über die Rechte des Kindes (sog. Kinderrechtskonvention, SR 0.107) und vom 18. Dezember 1979 zur Beseitigung jeder Form von Diskriminierung der Frau (sog. CEDAW, SR 0.108) von vornherein nichts zu ihren Gunsten ab- leiten (vgl. Beschwerde S. 4 f.); dies umso weniger, nachdem Frankreich beiden Abkommen ebenfalls beigetreten ist.</w:t>
      </w:r>
    </w:p>
    <w:p>
      <w:r>
        <w:rPr>
          <w:b/>
        </w:rPr>
        <w:t>E. 9.4</w:t>
      </w:r>
    </w:p>
    <w:p>
      <w:r>
        <w:t>Der Vollzug der Wegweisung der Beschwerdeführerinnen nach Frank- reich erweist sich in Beachtung der oben erwähnten völker- und landes- rechtlichen Bestimmungen als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Gemäss Art. 83 Abs. 5 AIG ist der Vollzug der Wegweisung in einen EU- oder EFTA-Staat vermutungsweise zumutbar. Die betroffene Person hat die Möglichkeit, diese Legalvermutung der Zumutbarkeit des Vollzugs umzustossen. Dazu hat sie jedoch ernsthafte Anhaltspunkte dafür vorzu- bringen, dass sie in diesem Staat aufgrund von individuellen Umständen sozialer, wirtschaftlicher oder gesundheitlicher Art in eine existenzielle Not- lage geraten würde.</w:t>
      </w:r>
    </w:p>
    <w:p>
      <w:r>
        <w:rPr>
          <w:b/>
        </w:rPr>
        <w:t>E. 10.3</w:t>
      </w:r>
    </w:p>
    <w:p>
      <w:r>
        <w:t>Nach Durchsicht der Akten gelangt das Gericht zum Schluss, dass die Vorinstanz in der angefochtenen Verfügung die Zumutbarkeit des Wegwei- sungsvollzugs mit zutreffender Begründung bejaht hat und sich keine Hin- weise darauf finden lassen, dass die Beschwerdeführerinnen im Falle einer Rückführung nach Frankreich in eine existenzielle Notlage geraten wür- den.</w:t>
      </w:r>
    </w:p>
    <w:p>
      <w:r>
        <w:t>E-2999/2025 Seite 10</w:t>
      </w:r>
    </w:p>
    <w:p>
      <w:r>
        <w:rPr>
          <w:b/>
        </w:rPr>
        <w:t>E. 10.4</w:t>
      </w:r>
    </w:p>
    <w:p>
      <w:r>
        <w:t>Frankreich verfügt bekanntlich über eine vergleichbare medizinische Infrastruktur wie die Schweiz. Die Beschwerdeführerin 1 hatte im Rahmen des rechtlichen Gehörs zum Nichteintretensentscheid noch keinerlei medi- zinische Schwierigkeiten vorgetragen (vgl. SEM-act. 22/11 S. 2: "Der Ge- suchstellerin geht es gesundheitlich gut, sie ist nur psychisch ein wenig angeschlagen. Den drei Töchtern gehe es auch gut"). Im weiteren Verlauf des erstinstanzlichen Verfahrens wurden dann Gesundheitsprobleme – insbesondere der Beschwerdeführerinnen 2–4 – geltend gemacht (vgl. SEM-act. 25–30; in diesem Zusammenhang zudem SEM-act. 39/1). Diese sind in Frankreich jedoch zweifellos behandelbar.</w:t>
      </w:r>
    </w:p>
    <w:p>
      <w:r>
        <w:rPr>
          <w:b/>
        </w:rPr>
        <w:t>E. 10.5</w:t>
      </w:r>
    </w:p>
    <w:p>
      <w:r>
        <w:t>Die Vorinstanz hat zu Recht festgehalten, dass den Beschwerdefüh- rerinnen mit Erhalt des Flüchtlingsstatus in Frankreich grundsätzlich die Garantien der Qualifikationsrichtlinie (insbesondere Zugang zu Wohnraum, Beschäftigung und medizinischer Versorgung) zustehen. In Übereinstim- mung mit dem SEM ist denn auch festzustellen, dass keine Hinweise zu erkennen sind, wonach die französischen Behörden oder nichtstaatliche Hilfsorganisationen die ihnen gemäss der Qualifikationsrichtlinie zustehen- den Recht verweigert hätten. Es ist ihnen zuzumuten, sich bei Unterstüt- zungsbedarf an die französischen Behörden zu wenden und die erforderli- che Hilfe – nötigenfalls auf dem Rechtsweg – einzufordern.</w:t>
      </w:r>
    </w:p>
    <w:p>
      <w:r>
        <w:rPr>
          <w:b/>
        </w:rPr>
        <w:t>E. 10.6</w:t>
      </w:r>
    </w:p>
    <w:p>
      <w:r>
        <w:t>Der Hinweis in der Beschwerde auf die Entscheidung eines erst- instanzlichen deutschen Verwaltungsgerichts, gemäss welcher aufgrund prekärer Lebensbedingungen und systemischer Mängel im französischen Asylsystem selbst nicht-vulnerable Personen nicht aus Deutschland nach Frankreich zurücküberstellt werden sollten (vgl. Beschwerde S. 6), ändert an diesen Feststellungen nichts, weil die schweizerischen Asylbehörden diese Einschätzung nicht teilen.</w:t>
      </w:r>
    </w:p>
    <w:p>
      <w:r>
        <w:rPr>
          <w:b/>
        </w:rPr>
        <w:t>E. 10.7</w:t>
      </w:r>
    </w:p>
    <w:p>
      <w:r>
        <w:t>Nach dem Gesagten vermögen die Beschwerdeführerinnen die ein- gangs erwähnte Legalvermutung nicht umzustossen. Der Vollzug der Weg- weisung erweist sich als zumutbar.</w:t>
      </w:r>
    </w:p>
    <w:p>
      <w:r>
        <w:rPr>
          <w:b/>
        </w:rPr>
        <w:t>E. 11</w:t>
      </w:r>
    </w:p>
    <w:p>
      <w:r>
        <w:t>Der Vollzug der Wegweisung der Beschwerdeführerinnen nach Frankreich ist schliesslich möglich, zumal die französischen Behörden ihrer Rücküber- nahme explizit und vorbehaltlos zugestimmt haben.</w:t>
      </w:r>
    </w:p>
    <w:p>
      <w:r>
        <w:rPr>
          <w:b/>
        </w:rPr>
        <w:t>E. 12</w:t>
      </w:r>
    </w:p>
    <w:p>
      <w:r>
        <w:t>Zusammenfassend hat die Vorinstanz den Wegweisungsvollzug zu Recht als zulässig, zumutbar und möglich bezeichnet. Eine Anordnung der vor- läufigen Aufnahme fällt somit ausser Betracht (Art. 83 Abs. 1–4 AIG).</w:t>
      </w:r>
    </w:p>
    <w:p>
      <w:r>
        <w:t>E-2999/2025 Seite 11</w:t>
      </w:r>
    </w:p>
    <w:p>
      <w:r>
        <w:rPr>
          <w:b/>
        </w:rPr>
        <w:t>E. 13</w:t>
      </w:r>
    </w:p>
    <w:p>
      <w:r>
        <w:t>Aus diesen Erwägungen ergibt sich, dass die angefochtene Verfügung Bundesrecht nicht verletzt und auch sonst nicht zu beanstanden ist (Art. 106 AsylG und Art. 49 VwVG). Die Beschwerde ist abzuweisen, so- weit darauf einzutreten ist.</w:t>
      </w:r>
    </w:p>
    <w:p>
      <w:r>
        <w:rPr>
          <w:b/>
        </w:rPr>
        <w:t>E. 14.1</w:t>
      </w:r>
    </w:p>
    <w:p>
      <w:r>
        <w:t>Mit dem Entscheid in der Hauptsache ist das Gesuch um Verzicht auf die Erhebung eines Kostenvorschusses gegenstandslos geworden.</w:t>
      </w:r>
    </w:p>
    <w:p>
      <w:r>
        <w:rPr>
          <w:b/>
        </w:rPr>
        <w:t>E. 14.2</w:t>
      </w:r>
    </w:p>
    <w:p>
      <w:r>
        <w:t>Das Gesuch um Gewährung der unentgeltlichen Prozessführung (Art. 65 Abs. 1 VwVG) ist abzuweisen, da die Beschwerdebegehren – wie sich aus den vorstehenden Erwägungen ergibt – als aussichtslos zu be- zeichnen sind. Die Verfahrenskosten sind den Beschwerdeführerinnen auf- zuerlegen (Art. 63 Abs. 1 VwVG) und auf insgesamt Fr. 750.– festzusetzen (Art. 1–3 des Reglements vom 21. Februar 2008 über die Kosten und Ent- schädigungen vor dem Bundesverwaltungsgericht [VGKE, SR 173.320.2]).</w:t>
      </w:r>
    </w:p>
    <w:p>
      <w:r>
        <w:t>(Dispositiv nächste Seite)</w:t>
      </w:r>
    </w:p>
    <w:p>
      <w:r>
        <w:t>E-2999/2025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