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E-2999/2019 vom 15. August 2019</w:t>
      </w:r>
    </w:p>
    <w:p>
      <w:r>
        <w:t>Bundesverwaltungsgericht, 2019-08-15, DE</w:t>
      </w:r>
    </w:p>
    <w:p>
      <w:r>
        <w:rPr>
          <w:b/>
        </w:rPr>
        <w:t xml:space="preserve">Quelle: </w:t>
      </w:r>
      <w:r>
        <w:t>https://mcp.opencaselaw.ch/entscheid/bvger_E-2999_2019</w:t>
      </w:r>
    </w:p>
    <w:p>
      <w:r>
        <w:t>FR: TAF E-2999/2019 du 15 août 2019</w:t>
      </w:r>
    </w:p>
    <w:p>
      <w:r>
        <w:t>IT: TAF E-2999/2019 del 15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Schilderungen des Beschwerdeführers in Bezug auf das Camp der H._______ und den Haftalltag seien auffallend unsubstantiiert. Insgesamt seien seine Angaben zur Haftdauer, zur Flucht nach seiner Freilassung, zum Zeitpunkt, bis wann er gearbeitet habe, zur Todesursache seines Sohnes, zum Ausstellungszeitpunkt seines Passes und zum Verbleib seiner Identitätskarte widersprüchlich. Er habe nicht glaubhaft machen können, dass er vor seiner Ausreise asylrelevanten Verfolgungsmassnahmen ausgesetzt gewesen sei.</w:t>
      </w:r>
    </w:p>
    <w:p>
      <w:r>
        <w:rPr>
          <w:b/>
        </w:rPr>
        <w:t>E. 5.2</w:t>
      </w:r>
    </w:p>
    <w:p>
      <w:r>
        <w:t>Der Beschwerdeführer wendet in der Rechtsmittelschrift dagegen ein, seine Aussagen zum Aufenthalt in I._______ seien nicht widersprüchlich. Er habe sich bei seiner Schwester aufgehalten, aber auch zusammen mit Angehörigen der D._______ gelebt, da ihre beiden Söhne D._______-Mitglieder gewesen seien. Zur Haft habe er alle Fragen beantworten können. Es sei ihm nicht bewusst gewesen, dass seine Antworten detailliert hätten sein müssen. Seine Narbe am Knie belege die Misshandlungen in der Haft. Bei seinen Angaben zur Aufenthaltsdauer bei seiner Schwester und in M._______ müsse es sich um einen Übersetzungs- oder Protokollierungsfehler handeln, der ihm bei der Rückübersetzung nicht aufgefallen sei. Nicht widersprüchlich seien seine Angaben zur Todesursache seines Sohnes. Das Militär habe seinen Sohn in der Haft getötet und seinen Tod als Unfall dargestellt. Weiter betreffe seine Aussage, sein Sohn habe den Familienunterhalt bestritten, nicht seine Asylvorbringen und sei somit nicht relevant. Der Ausstellungszeitpunkt seines Passes sei nicht als Kernpunkt seiner Verfolgung zu betrachten. Aufgrund seiner Schmugglertätigkeiten sei er während rund fünf Monaten inhaftiert gewesen. Seine Ehefrau sei regelmässig behelligt und sexuell belästigt und sein Sohn sei von Beamten getötet worden. Somit liege eine Verfolgung beziehungsweise begründete Furcht vor zukünftiger Verfolgung im Sinne von Art. 3 AsylG vor und es habe ihm ein ernsthafter Nachteil gedroht. Zudem sei auch anzunehmen, er werde zukünftig verfolgt. Der Vollzug der Wegweisung sei unzulässig.</w:t>
      </w:r>
    </w:p>
    <w:p>
      <w:r>
        <w:rPr>
          <w:b/>
        </w:rPr>
        <w:t>E. 6.1</w:t>
      </w:r>
    </w:p>
    <w:p>
      <w:r>
        <w:t>Die Vorinstanz ist in ihren Erwägungen zur zutreffenden Erkenntnis gelangt, die Vorbringen des Beschwerdeführers seien unglaubhaft. Bezüglich der Haft im Camp der H._______ vermag er erst auf mehrmaliges Nachfragen hin stereotype Angaben über die Räumlichkeiten und den Haftalltag zu machen. So erklärte er anlässlich der Anhörung lediglich, es habe viele kleine Räume gegeben, die mit Metallgittern versehen gewesen seien. Zum Haftalltag erklärte er, er sei die ganze Zeit in der Zelle gewesen, ab und zu habe er Essen bekommen, er habe das Lokal und die Toiletten reinigen müssen, es sei meist dunkel gewesen, nur ab und zu habe das Licht gebrannt. Nicht nachvollziehbar ist, dass er trotz mehrmonatiger Haft die vier bis fünf Mithäftlinge, aus Angst verraten zu werden, nicht kennengelernt haben soll. Seine in der Beschwerde vorgebrachten ausführlicheren Angaben sind als nachgeschoben zu taxieren, da ihm anlässlich der Anhörung genügend Zeit zur Verfügung gestellt wurde, sich detailliert zur Haft zu äussern. Darüber hinaus tragen auch seine widersprüchlichen Angaben zur Haftdauer nicht zur Glaubhaftmachung der Haft bei. So gab er anlässlich der Befragung zur Person an, er sei sechs Monate inhaftiert gewesen. In der Anhörung erklärte er hingegen, er sei viereinhalb Monate in Haft gewesen. Der Beschwerdeführer gab weiter an, er sei nach der Haftentlassung und der erneuten Suche nach ihm nach I._______ geflüchtet. Anlässlich der Befragung gab er an, er habe dort mit Angehörigen der D._______ zusammengelebt. Später sagte er aus, er habe im Haus der älteren Schwester gewohnt. Sein Erklärungsversuch in der Beschwerde, beide Aussagen würden zutreffen, da die Söhne seiner Schwester D._______-Mitglieder seien, vermag nicht zu überzeugen. Weitere Widersprüche bestehen in Bezug auf seinen Aufenthalt in I._______ und M._______. Anlässlich der Befragung gab er an, er habe 15 Jahre in I._______ gelebt. Seinen über zehnjährigen Aufenthalt in M._______ erwähnte er mit keinem Wort. Seine Erklärung in der Beschwerde, der Widerspruch sei auf Übersetzungs- und Protokollierungsfehler zurückzuführen, geht fehl. In der Befragung erklärte er zweimal und in der Anhörung einmal, er verstehe den Dolmetscher gut. In den Befragungsprotokollen lassen sich auch keine Hinweise finden, wonach entsprechende Verständigungsprobleme bestanden hätten. Schliesslich wurde dem Beschwerdeführer das Protokoll rückübersetzt und er bestätigte dessen Inhalt unterschriftlich als richtig und vollständig. Widersprüchlich sind auch seine Aussagen zu seiner beruflichen Tätigkeit seit er im Jahr 2000 in I._______ gelebt hat. Anlässlich der Befragung erklärte er, er habe im Camp für die D._______ gekocht und viele Leistungen erbracht. Anlässlich der Anhörung führte er zunächst aus, er habe nach dem Jahr 2000 nicht mehr gearbeitet. Sein Sohn habe für das Familieneinkommen gesorgt. Die Vorinstanz hat zu Recht festgestellt, sein Sohn sei zu diesem Zeitpunkt erst zehn Jahre alt gewesen und es sei nur schwer vorstellbar, dass er in diesem Alter die Familie habe versorgen können. Später gab er an, er habe in der Zeit, als er bei seiner Schwester gelebt habe, in der Landwirtschaft geholfen und für die D._______ gekocht. Weiter sind seine Aussagen zum Ausstellungszeitpunkt seines Passes vor der Ausreise und zum Verbleib seiner Identitätskarte widersprüchlich. Zudem ist nicht nachvollziehbar, dass er offensichtlich mit seinem eigenen Pass und ohne Angst zu haben über den Flughafen O._______ ausreisen konnte. Wäre er tatsächlich verfolgt worden, wäre nicht zu erwarten gewesen, dass er ohne Probleme hätte ausreisen können. Aufgrund dessen sowie der zahlreichen Widersprüche ist unglaubhaft, dass der Beschwerdeführer gesucht und seine Ehefrau deshalb belästigt worden sein soll. Es besteht somit kein begründeter Anlass zur Annahme, dass er bei einer Rückkehr nach Sri Lanka mit beachtlicher Wahrscheinlichkeit oder in absehbarer Zukunft asylrelevanten Verfolgungsmassnahmen ausgesetzt sein wird.</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D._______,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O._______ abrufbaren "Stop-List" vermerkt seien und der Eintrag den Hinweis auf eine Verhaftung beziehungsweise einen Strafregistereintrag im Zusammenhang mit einer tatsächlichen oder vermuteten Verbindung zu den D._______ enthalte. Entsprechendes gelte für sri-lankische Staatsangehörige, die sich im Ausland regimekritisch betätigt hätten (vgl. a.a.O. E. 8).</w:t>
      </w:r>
    </w:p>
    <w:p>
      <w:r>
        <w:rPr>
          <w:b/>
        </w:rPr>
        <w:t>E. 7.2</w:t>
      </w:r>
    </w:p>
    <w:p>
      <w:r>
        <w:t>Die Vorinstanz hat zu Recht festgestellt, dass der Beschwerdeführer nicht glaubhaft machen konnte, er sei vor seiner Ausreise aus Sri Lanka asylrelevanten Verfolgungsmassnahmen ausgesetzt gewesen. Am 21. August 2015 reiste er ohne Probleme mit seinem eigenen Pass aus Sri Lanka aus. Es kann deshalb ausgeschlossen werden, dass sein Name auf einer "Stop List" aufgeführt ist (vgl. Urteil des BVGer D-3619/2016 vom 5. Oktober 2017 E. 5.3.2). Er konnte ferner nicht glaubhaft machen, dass er aufgrund seiner angeblichen Tätigkeit bei den D._______ von den Behörden festgenommen und inhaftiert wurde. Weiter konnte er auch nicht glaubhaft darlegen, dass er von den Behörden noch immer gesucht werde. Zudem ist er nicht exilpolitisch tätig. Allein aus der tamilischen Ethnie, der Narbe und der mittlerweile knapp vierjährigen Landesabwesenheit kann er keine Gefährdung ableiten.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Nachdem der Beschwerdeführer - wie in Erwägung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In seinem neusten als Referenzurteil publizierten Entscheid erachtet das Bundesverwaltungsgericht auch den Wegweisungsvollzug ins Vanni-Gebiet als zumutbar (vgl. Urteil des BVGer D-3619/2016 vom 16. Oktober 2017 E. 9.5). Daran vermögen auch die Anschläge am 22. April 2019 und der gleichentags von der sri-lankischen Regierung verhängte Ausnahmezustand (Neue Zürcher Zeitung [NZZ] vom 23. April 2019, Sri Lanka: Colombo spricht von islamistischem Terror, &lt; https://www.nzz.ch/.../sri-lanka-colombo-spricht-von-islamistischem-terror-ld.1476769 &gt;, abgerufen am 13.08.2019) nichts zu ändern (Urteil des BVGer D-2361/2019 vom 2. Juli 2019 E. 9.3). Der Beschwerdeführer ist gesund und verfügt über eine sechsjährige Schulbildung. Danach hat er bei einem privaten Busunternehmen gearbeitet. Es ist anzunehmen, dass er nach seiner Rückkehr wieder eine Arbeitsstelle finden wird. Zudem verfügt er mit seiner Ehefrau, seinen Kindern und seinen Geschwistern über ein tragfähiges soziales Beziehungsnetz in Sri Lanka, das ihn nötigenfalls bei der Wiedereingliederung unterstützen könnte.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