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E-2991/2017 vom 24. Juli 2017</w:t>
      </w:r>
    </w:p>
    <w:p>
      <w:r>
        <w:t>Bundesverwaltungsgericht, 2017-07-24, DE</w:t>
      </w:r>
    </w:p>
    <w:p>
      <w:r>
        <w:rPr>
          <w:b/>
        </w:rPr>
        <w:t xml:space="preserve">Quelle: </w:t>
      </w:r>
      <w:r>
        <w:t>https://mcp.opencaselaw.ch/entscheid/bvger_E-2991_2017</w:t>
      </w:r>
    </w:p>
    <w:p>
      <w:r>
        <w:t>FR: TAF E-2991/2017 du 24 juillet 2017</w:t>
      </w:r>
    </w:p>
    <w:p>
      <w:r>
        <w:t>IT: TAF E-2991/2017 del 24 luglio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w:t>
      </w:r>
    </w:p>
    <w:p>
      <w:r>
        <w:rPr>
          <w:b/>
        </w:rPr>
        <w:t>E. 1.3</w:t>
      </w:r>
    </w:p>
    <w:p>
      <w:r>
        <w:t>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 vgl. hierzu BVGE 2015/9).</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3.1</w:t>
      </w:r>
    </w:p>
    <w:p>
      <w:r>
        <w:t>In der Beschwerde werden verschiedene formelle Rügen erhoben, die vorab zu beurteilen sind:</w:t>
      </w:r>
    </w:p>
    <w:p>
      <w:r>
        <w:rPr>
          <w:b/>
        </w:rPr>
        <w:t>E. 3.2</w:t>
      </w:r>
    </w:p>
    <w:p>
      <w:r>
        <w:t>Im Rahmen des Beschwerdeverfahrens wurden dem Beschwerdeführers die vorinstanzlichen Aktenstücke A9, A19/2 und A20/1 offengelegt. Eine allfällige Verletzung des Akteneinsichtsrechts durch die unterlassene Offenlegung dieser Dokumente durch die Vorinstanz könnte demnach als geheilt erachtet werden (zumal der Beschwerdeführer erstmals in seinem Rechtsmittel um Einsicht in die von ihm selber eingereichten Dokumente verlangt hatte). Die Rüge, das SEM habe das Akteneinsichtsrecht verletzt, indem es die Aktenstücke A14/2 und A23/6 nicht offengelegt habe, ist nicht gerechtfertigt. Es kann hierzu auf die Ausführungen in der Zwischenverfügung vom 31. Mai 2017 verwiesen werden.</w:t>
      </w:r>
    </w:p>
    <w:p>
      <w:r>
        <w:rPr>
          <w:b/>
        </w:rPr>
        <w:t>E. 3.3.1</w:t>
      </w:r>
    </w:p>
    <w:p>
      <w:r>
        <w:t>Der Grundsatz des rechtlichen Gehörs (Art. 29 Abs. 2 BV, Art. 29 VwVG, Art. 32 Abs. 1 VwVG) verlangt, dass die verfügende Behörde die Vorbringen des Betroffenen tatsächlich hört, sorgfältig und ernsthaft prüft und in der Entscheidfindung berücksichtigt, was sich entsprechend in der Entscheidbegründung niederschlagen muss (vgl. Art. 35 Abs. 1 VwVG; BGE 129 I 232 E. 3.2). Die Begründung eines Entscheides muss so abgefasst sein, dass der Betroffene ihn gegebenenfalls sachgerecht anfechten kann, was nur der Fall ist, wenn sich sowohl der von der Verfügung Betroffene als auch die Rechtsmittelinstanz über die Tragweite des Entscheides ein Bild machen können. Die verfügende Behörde muss sich zwar nicht ausdrücklich mit jeder tatbeständlichen Behauptung und jedem rechtlichen Einwand auseinandersetzen, sondern kann sich auf die wesentlichen Gesichtspunkte beschränken. Sie hat aber wenigstens kurz die Überlegungen anzuführen, von denen sie sich leiten liess und auf die sich ihr Entscheid stützt. Die Begründungsdichte richtet sich dabei nach dem Verfügungsgegenstand, den Verfahrensumständen und den Interessen des Betroffenen, wobei bei schwerwiegenden Eingriffen in die rechtlich geschützten Interessen des Betroffenen eine sorgfältige Begründung verlangt wird (vgl. Lorenz Kneubühler in: Kommentar zum VwVG, Auer/Müller/Schindler [Hrsg.], Zürich 2008, N. 6 ff. zu Art. 35; BVGE 2008/47 E. 3.2 S. 674 f., BVGE 2007/30 E. 5.6 S. 366 f.).</w:t>
      </w:r>
    </w:p>
    <w:p>
      <w:r>
        <w:rPr>
          <w:b/>
        </w:rPr>
        <w:t>E. 3.3.2</w:t>
      </w:r>
    </w:p>
    <w:p>
      <w:r>
        <w:t>Der Beschwerdeführer weist zu Recht darauf hin, dass die Vorinstanz in der angefochtenen Verfügung nicht gewürdigt hat, dass er bestritten hatte, sich bei der schwedischen Botschaft ein Schengenvisum beschafft zu haben, und zudem vorgebracht hatte, bereits vor der Ausstellung des Visums illegal aus der Türkei ausgereist zu sein. Die Begründungspflicht wurde vom BFM immerhin nicht in einer Weise missachtet, welche die sachgerechte Anfechtung der neuen Verfügung verunmöglicht hätte. Die Vorinstanz hat sich in der Vernehmlassung zudem ausführlich mit den vom Beschwerdeführer gegen die Zuständigkeit Schwedens für sein Asyl-verfahren erhobenen Einwänden auseinandergesetzt und damit das Versäumte nachgeholt. Dem Beschwerdeführer wurde mit Instruktionsverfügung vom 15. Juni 2017 Gelegenheit zur Stellungnahme zur vorinstanzlichen Vernehmlassung gegeben, von welcher er Gebrauch machte. Unter diesen Umständen kann gemäss Praxis des Bundesverwaltungsgerichts aus prozessökonomischen Gründen eine Heilung des festgestellten Verfahrensmangels angenommen werden (vgl. BVGE 2008/47 E. 3.3.4, m.w.H.).</w:t>
      </w:r>
    </w:p>
    <w:p>
      <w:r>
        <w:rPr>
          <w:b/>
        </w:rPr>
        <w:t>E. 3.3.3</w:t>
      </w:r>
    </w:p>
    <w:p>
      <w:r>
        <w:t>Dass die Vorinstanz keine näheren Abklärungen betreffend das dem Beschwerdeführer ausgestellte Schengenvisum vornahm, ist nicht zu beanstanden, da die Visumserteilung durch den Eintrag in der CS-VIS-Datenbank eindeutig erstellt ist und die Argumente des Beschwerdeführers - wie im Folgenden zu zeigen sein wird - nicht geeignet sind, diese in Frage zu stellen. Demnach bestand auch kein Anlass für weitere Abklärungen hinsichtlich einer allfälligen Gefährdung des Beschwerdeführers durch die türkischen Behörden.</w:t>
      </w:r>
    </w:p>
    <w:p>
      <w:r>
        <w:rPr>
          <w:b/>
        </w:rPr>
        <w:t>E. 3.4</w:t>
      </w:r>
    </w:p>
    <w:p>
      <w:r>
        <w:t>Nach dem Gesagten ist der Antrag des Beschwerdeführers abzuweisen, die angefochtene Verfügung sei wegen Verletzung des rechtlichen Gehörs und unrichtiger beziehungsweise unvollständiger Sachverhaltsabklärung zu kassieren und die Sache zur Neubeurteilung an die Vorinstanz zurückzuweisen.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2015/41 E. 3.1).</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2012/4 E. 3.2; Filzwieser/Sprung, Dublin III-Verordnung, Wien 2014, K4 zu Art. 7). Im Rahmen eines Wiederaufnahmeverfahrens (engl.: take back) findet demgegenüber grundsätzlich keine (erneute) Zuständigkeitsprüfung nach Kapitel III statt (vgl. BVGE 2012/4 E. 3.2.1 m.w.H.).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4.3</w:t>
      </w:r>
    </w:p>
    <w:p>
      <w:r>
        <w:t>Der nach dieser Verordnung zuständige Mitgliedstaat ist verpflichtet, einen Antragsteller, der in einem anderen Mitgliedstaat einen Antrag gestellt hat, nach Massgabe der Art. 21, 22 und 29 Dublin-III-VO aufzunehmen (Art. 18 Abs. 1 Bst. a Dublin-III-VO).</w:t>
      </w:r>
    </w:p>
    <w:p>
      <w:r>
        <w:rPr>
          <w:b/>
        </w:rPr>
        <w:t>E. 4.4</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5.1</w:t>
      </w:r>
    </w:p>
    <w:p>
      <w:r>
        <w:t>Den vorliegenden Akten ist zu entnehmen, dass dem Beschwerdeführer von den schwedischen Behörden am (...) März 2017 ein vom (...) März 2017 bis am (...) September 2017 gültiges Schengenvisum ausgestellt wurde. Die schwedischen Behörden stimmten dementsprechend dem Gesuch um Übernahme am 26. April 2017 ausdrücklich zu.</w:t>
      </w:r>
    </w:p>
    <w:p>
      <w:r>
        <w:rPr>
          <w:b/>
        </w:rPr>
        <w:t>E. 5.2</w:t>
      </w:r>
    </w:p>
    <w:p>
      <w:r>
        <w:t>Die vom Beschwerdeführer gegen die auf die Visumserteilung gestützte Zuständigkeit Schwedens für sein Asylverfahren erhobenen Einwände sind nicht stichhaltig. Es besteht kein Grund, den mit Angaben zum Reisepass sowie einem Foto versehenen Eintrag in der CS-VIS-Datenbank in Zweifel zu ziehen. Bei seinen Erklärungen, er habe nie bei der Schwedischen Botschaft einen Antrag auf Ausstellung eines Visums gestellt, sein Reisepass sei von den heimatlichen Behörden beschlagnahmt worden, und er sei vor dem im CS-VIS verzeichneten Ausstellungsdatum des Visums illegal aus der Türkei ausgereist, handelt es sich um unbelegte und nicht weiter substanziierte Vorbringen, die als blosse Schutzbehauptungen und damit als unglaubhaft zu qualifizieren sind. Aus den Angaben des Beschwerdeführers im Rahmen der Befragung zur Person vom 28. März 2017 ergibt sich, dass er angeblich am 1. März 2017 in einem Lastwagen versteckt illegal aus der Türkei ausreiste und am 10. März 2017, mithin erst neun Tage später, "direkt" in die Schweiz einreiste (vgl. Protokoll BzP S. 6). Eine solch lange Reisedauer für eine direkte Reise von Istanbul in die Schweiz erscheint jedoch wenig realistisch; vielmehr ist durchaus wahrscheinlich und plausibel, dass die Ausreise ab dem Gültigkeitsdatum des Visums auf legalem Wege erfolgte. Im Übrigen widerspricht die Angabe in der Beschwerdeschrift, der Beschwerdeführer sei per Flugzeug von Istanbul in die Schweiz eingereist (vgl. dort S. 8), diametral seiner Beschreibung der Reiseumstände im erstinstanzlichen Verfahren. Der Umstand, dass der Beschwerdeführer in Schweden kein Asylgesuch eingereicht hat, steht entgegen der Auffassung des Beschwerdeführers einer Zuständigkeit dieses Staates gestützt auf Art. 12 Dublin-III-VO nicht entgegen.</w:t>
      </w:r>
    </w:p>
    <w:p>
      <w:r>
        <w:rPr>
          <w:b/>
        </w:rPr>
        <w:t>E. 5.3</w:t>
      </w:r>
    </w:p>
    <w:p>
      <w:r>
        <w:t>Im Weiteren hat die Vorinstanz zu Recht darauf hingewiesen, dass es sich bei den Verwandten des Beschwerdeführers in der Schweiz offensichtlich nicht um Familienangehörige im Sinne der Legaldefinition von Art. 2 Bst. g Dublin-III-VO handelt, und es lassen sich den Akten auch keine Hinweise auf ein spezifisches Abhängigkeitsverhältnis zwischen dem Beschwerdeführer und ihnen entnehmen. Auch aus diesem Verwandtschaftsverhältnis lässt sich keine Zuständigkeit der Schweiz ableiten.</w:t>
      </w:r>
    </w:p>
    <w:p>
      <w:r>
        <w:rPr>
          <w:b/>
        </w:rPr>
        <w:t>E. 5.4</w:t>
      </w:r>
    </w:p>
    <w:p>
      <w:r>
        <w:t>Die grundsätzliche Zuständigkeit Schwedens ist somit gegeben.</w:t>
      </w:r>
    </w:p>
    <w:p>
      <w:r>
        <w:rPr>
          <w:b/>
        </w:rPr>
        <w:t>E. 6.1</w:t>
      </w:r>
    </w:p>
    <w:p>
      <w:r>
        <w:t>Im Lichte von Art. 3 Abs. 2 Dublin-III-VO ist zu prüfen, ob es wesentliche Gründe für die Annahme gibt, das Asylverfahren und die Aufnahmebedingungen für Asylsuchende in Schweden würden systemische Schwachstellen aufweisen, die eine Gefahr einer unmenschlichen oder entwürdigenden Behandlung im Sinne des Artikels 4 der EU-Grundrechtecharta mit sich bringen würden.</w:t>
      </w:r>
    </w:p>
    <w:p>
      <w:r>
        <w:rPr>
          <w:b/>
        </w:rPr>
        <w:t>E. 6.1.1</w:t>
      </w:r>
    </w:p>
    <w:p>
      <w:r>
        <w:t>Schweden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6.1.2</w:t>
      </w:r>
    </w:p>
    <w:p>
      <w:r>
        <w:t>Unter diesen Umständen ist die Anwendung von Art. 3 Abs. 2 Dublin-III-VO nicht gerechtfertigt.</w:t>
      </w:r>
    </w:p>
    <w:p>
      <w:r>
        <w:rPr>
          <w:b/>
        </w:rPr>
        <w:t>E. 6.2</w:t>
      </w:r>
    </w:p>
    <w:p>
      <w:r>
        <w:t>Der Beschwerdeführer fordert unter Hinweis auf das in der Schweiz vorhandene Familiennetz die Anwendung der Ermessensklausel von Art. 17 Abs. 1 Dublin-III-VO, respektive der - das Selbsteintrittsrecht im Landesrecht konkretisierenden - Bestimmung von Art. 29a Abs. 3 AsylV 1, gemäss welcher das SEM das Asylgesuch "aus humanitären Gründen" auch dann behandeln kann, wenn dafür gemäss Dublin-III-VO ein anderer Staat zuständig wäre.</w:t>
      </w:r>
    </w:p>
    <w:p>
      <w:r>
        <w:rPr>
          <w:b/>
        </w:rPr>
        <w:t>E. 6.2.1</w:t>
      </w:r>
    </w:p>
    <w:p>
      <w:r>
        <w:t>Wie bereits vorstehend festgehalten, ist die Rüge aktenwidrig, das SEM habe nicht beachtet, dass der Beschwerdeführer in der Schweiz über Familienangehörige verfüge. Das SEM wies zu Recht darauf hin, dass die Verwandten des Beschwerdeführers nicht als Familienangehörige im Sinn von Art. 2 Bst. g Dublin-III-VO gelten, weshalb er aus deren Anwesenheit in der Schweiz nichts zu seinen Gunsten ableiten kann (vgl. Art. 9 Dublin-III-VO) und zudem ein besonderes Abhängigkeitsverhältnis zwischen ihm und diesen Angehörigen nicht belegt ist (vgl. Art. 16 Dublin-III-VO). Das SEM hat die Dublin-III-VO somit auch in dieser Hinsicht korrekt angewendet.</w:t>
      </w:r>
    </w:p>
    <w:p>
      <w:r>
        <w:rPr>
          <w:b/>
        </w:rPr>
        <w:t>E. 6.2.2</w:t>
      </w:r>
    </w:p>
    <w:p>
      <w:r>
        <w:t>Der Beschwerdeführer hat kein konkretes und ernsthaftes Risiko dargetan, die schwedischen Behörden würden sich weigern, ihn aufzunehmen und seinen Antrag auf internationalen Schutz unter Einhaltung der Regeln der Verfahrensrichtlinie zu prüfen. Den Akten sind denn auch keine Gründe für die Annahme zu entnehmen, Schweden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der Beschwerdeführer nicht dargetan, die ihn bei einer Rückführung erwartenden Bedingungen in Schweden seien derart schlecht, dass sie zu einer Verletzung von Art. 4 der EU-Grundrechtecharta, Art. 3 EMRK oder Art. 3 FoK führen könnten. Hinweise für die Annahme, Schweden würde dem Beschwerdeführer dauerhaft die ihm gemäss Aufnahmerichtlinie zustehenden minimalen Lebensbedingungen vorenthalten, ergeben sich aus den Akten nicht.</w:t>
      </w:r>
    </w:p>
    <w:p>
      <w:r>
        <w:rPr>
          <w:b/>
        </w:rPr>
        <w:t>E. 6.2.3</w:t>
      </w:r>
    </w:p>
    <w:p>
      <w:r>
        <w:t>Soweit der Beschwerdeführer das Vorliegen von "humanitären Gründen" geltend macht, ist Folgendes festzuhalten: 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korrekt ausgeübt hat (vgl. Art. 106 Abs. 1 Bst. a und b AsylG).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6.2.4</w:t>
      </w:r>
    </w:p>
    <w:p>
      <w:r>
        <w:t>Nach dem Gesagten besteht kein Grund für eine Anwendung der Ermessenklauseln von Art. 17 Dublin-III-VO. Der Vollständigkeit halber ist festzuhalten, dass die Dublin-III-VO den Schutzsuchenden kein Recht einräumt, den ihren Antrag prüfenden Staat selber auszuwählen (vgl. auch BVGE 2010/45 E. 8.3).</w:t>
      </w:r>
    </w:p>
    <w:p>
      <w:r>
        <w:rPr>
          <w:b/>
        </w:rPr>
        <w:t>E. 6.3</w:t>
      </w:r>
    </w:p>
    <w:p>
      <w:r>
        <w:t>Somit bleibt Schweden der für die Behandlung der Asylgesuche des Beschwerdeführers zuständige Mitgliedstaat gemäss Dublin-III-VO. Schweden ist verpflichtet, das Asylverfahren gemäss Art. 21, 22 und 29 durchzuführen.</w:t>
      </w:r>
    </w:p>
    <w:p>
      <w:r>
        <w:rPr>
          <w:b/>
        </w:rPr>
        <w:t>E. 7</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Schweden in Anwendung von Art. 44 AsylG ebenfalls zu Recht angeordnet (Art. 32 Bst. a AsylV 1).</w:t>
      </w:r>
    </w:p>
    <w:p>
      <w:r>
        <w:rPr>
          <w:b/>
        </w:rPr>
        <w:t>E. 8</w:t>
      </w:r>
    </w:p>
    <w:p>
      <w:r>
        <w:t>Da das Fehlen von Überstellungshindernissen bereits Voraussetzung des Nichteintretensentscheides gemäss Art. 31a Abs. 1 Bst. b AsylG ist, sind allfällige Vollzugshindernisse gemäss Art. 83 Abs. 3 und 4 AuG (SR 142.20) unter diesen Umständen nicht mehr zu prüfen (vgl. BVGE 2015/18 E. 5.2 m.w.H.).</w:t>
      </w:r>
    </w:p>
    <w:p>
      <w:r>
        <w:rPr>
          <w:b/>
        </w:rPr>
        <w:t>E. 9</w:t>
      </w:r>
    </w:p>
    <w:p>
      <w:r>
        <w:t>Nach dem Gesagten ist die Beschwerde abzuweisen und die Verfügung des SEM zu bestätigen.</w:t>
      </w:r>
    </w:p>
    <w:p>
      <w:r>
        <w:rPr>
          <w:b/>
        </w:rPr>
        <w:t>E. 10</w:t>
      </w:r>
    </w:p>
    <w:p>
      <w:r>
        <w:t>Bei diesem Ausgang des Verfahrens wären die Kosten grundsätzlich dem Beschwerdeführer aufzuerlegen (Art. 63 Abs. 1 VwVG). Nachdem ihm aber mit Instruktionsverfügung vom 15. Juni 2017 die unentgeltliche Prozessführung gemäss Art. 65 Abs. 1 VwVG gewährt wurde, sind keine Verfahrenskosten zu erheben.</w:t>
      </w:r>
    </w:p>
    <w:p>
      <w:r>
        <w:rPr>
          <w:b/>
        </w:rPr>
        <w:t>E. 11</w:t>
      </w:r>
    </w:p>
    <w:p>
      <w:r>
        <w:t>Für das Ausrichten einer Entschädigung für die notwendigen Parteikosten des Beschwerdeführers sieht das Gericht nach Würdigung aller Verfahrensumstände keine Veranlassung.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