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E-2981/2010 vom 8. März 2013</w:t>
      </w:r>
    </w:p>
    <w:p>
      <w:r>
        <w:t>Bundesverwaltungsgericht, 2013-03-08, DE</w:t>
      </w:r>
    </w:p>
    <w:p>
      <w:r>
        <w:rPr>
          <w:b/>
        </w:rPr>
        <w:t xml:space="preserve">Quelle: </w:t>
      </w:r>
      <w:r>
        <w:t>https://mcp.opencaselaw.ch/entscheid/bvger_E-2981_2010</w:t>
      </w:r>
    </w:p>
    <w:p>
      <w:r>
        <w:t>FR: TAF E-2981/2010 du 8 mars 2013</w:t>
      </w:r>
    </w:p>
    <w:p>
      <w:r>
        <w:t>IT: TAF E-2981/2010 del 8 marzo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ausschliesslich gegen den Vollzug der von der Vorinstanz angeordneten Wegweisung. Die Verfügung des BFM vom 26. März 1020 ist, soweit sie die Frage der Flüchtlingseigenschaft und der Asylgewährung betrifft (Ziffern 1 und 2 des Dispositivs der vorinstanzlichen Verfügung), in Rechtskraft erwachsen, und auch die Anordnung der Wegweisung (Ziffer 3 des Dispositivs) ist somit praxisgemäss nicht mehr zu überprüfen (vgl. Entscheidungen und Mitteilungen der [vormaligen] Schweizerischen Asylrekurskommission [EMARK] 2001 Nr. 21). Gegenstand des vorliegenden Verfahrens bildet somit - abgesehen von den formellen Rügen - lediglich die Frage, ob das Bundesamt den Vollzug der Wegweisung zu Recht als zulässig, zumutbar und möglich erklärt hat.</w:t>
      </w:r>
    </w:p>
    <w:p>
      <w:r>
        <w:rPr>
          <w:b/>
        </w:rPr>
        <w:t>E. 4.1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 der asyl- als auch der völkerrechtlichen Bestimmungen zulässig.</w:t>
      </w:r>
    </w:p>
    <w:p>
      <w:r>
        <w:rPr>
          <w:b/>
        </w:rPr>
        <w:t>E. 4.4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4.4.1</w:t>
      </w:r>
    </w:p>
    <w:p>
      <w:r>
        <w:t>Die Beschwerdeführenden reichten ein Bestätigungsschreiben ein, in welchem ausgeführt wird, die Sicherheitslage in ihrer Heimatgemeinde entspreche nicht den Anforderungen an "normale Lebensgrundlagen" (Bestätigung vom 18. November 2009). Andererseits wird darin bestätigt, dass eine Anzeige des Beschwerdeführers im Jahr 2001 entgegengenommen worden ist, mithin jedenfalls diesbezüglich offensichtlich keine Diskriminierung erfolgte. Daraus, dass damals der Einbrecher nicht ermittelt werden konnte, kann nicht bereits auf eine generell ungenügende Sicherheitslage geschlossen werden. Im Schreiben vom 29. September 2009 wird hinsichtlich der Sicherheitslage in der Region bestätigt, dass es zu verschiedenen Übergriffen namentlich kurz nach der Rückkehr der Flüchtlinge gekommen sei. Die Vorinstanz hat in der Verfügung vom 26. März 2010 zutreffend festgestellt, dass es sich hierbei offensichtlich um ein standardisiertes Schreiben handelt, bei dem jeweils der Name handschriftlich eingefügt wird. Es ist bezüglich der allgemeinen politischen Lage, der Menschenrechtssituation und der allgemeinen Lebensumstände in Bosnien-Herzegowina im aktuellen Zeitpunkt jedenfalls Folgendes festzuhalten: Im Heimatland der Beschwerdeführenden herrscht keine Situation von Krieg, Bürgerkrieg oder allgemeiner Gewalt. Es ist auch davon auszugehen, dass der Staat grundsätzlich schutzwillig und schutzfähig ist und sowohl über funktionierende Polizeiorgane als auch über ein funktionierendes Justizsystem verfügt. Entsprechend wurde Bosnien-Herzegowina mit Beschluss des Bundesrats vom 1. August 2003 zu einem verfolgungssicheren Staat (so genanntes "Safe Country") erklärt. Es ist daher mit Bezug auf die Beschwerdeführenden nicht von einer diesbezüglichen konkreten Gefährdung auszugehen, mithin ist unter dem Aspekt der konkreten Gefährdung eine Rückkehr der Beschwerdeführenden als grundsätzlich zumutbar zu bezeichnen.</w:t>
      </w:r>
    </w:p>
    <w:p>
      <w:r>
        <w:rPr>
          <w:b/>
        </w:rPr>
        <w:t>E. 4.4.2</w:t>
      </w:r>
    </w:p>
    <w:p>
      <w:r>
        <w:t>Der Beschwerdeführer konnte während seines Aufenthalts in Deutschland ((...) bis (...)) eine Ausbildung als (...) in Angriff nehmen und abschliessen. Nach der Rückkehr in den Heimatstaat habe er während drei Jahren auf dem Bau, danach bis (...) als (...) gearbeitet. Er sei danach arbeitslos gewesen, habe aber ab 2008 bis zur Ausreise im Herbst 2009 erneut verschiedene Arbeiten als Bauarbeiter ausgeführt. Vor diesem Hintergrund sowie in Berücksichtigung der Ausführungen im Bericht der SFH vom 12. Juni 2010 ist zwar nicht zu bestreiten, dass sich die wirtschaftlichen Perspektiven möglicherweise schwierig darstellen. Es ist den Beschwerdeführenden dabei jedoch zumutbar, sich nach einer Rückkehr wiederum im und ausserhalb des Heimatdorfs in der näheren Region um Arbeit zu bemühen. Zudem besitzen die Beschwerdeführenden im Heimatdorf ein Haus. Sie verfügen im Heimatstaat auch über ein soziales Beziehungsnetz; so leben jeweils die Mütter der Beschwerdeführenden und mehrere Geschwister in der Herkunftsregion. Schliesslich ist festzuhalten, dass jeweils mehrere Angehörige der Beschwerdeführenden in K._______ und L._______ leben. Diese könnten ihnen im Bedarfsfall mindestens anfänglich finanzielle Unterstützung gewähren. Insgesamt ist vor diesem Hintergrund nicht davon auszugehen, die Beschwerdeführenden würden im Fall einer Rückkehr in eine existenzbedrohende Situation geraten.</w:t>
      </w:r>
    </w:p>
    <w:p>
      <w:r>
        <w:rPr>
          <w:b/>
        </w:rPr>
        <w:t>E. 4.4.3</w:t>
      </w:r>
    </w:p>
    <w:p>
      <w:r>
        <w:t>Der Beschwerdeführer macht geltend er leide unter einem Kriegstrauma. Im Arztbericht der psychiatrischen Dienste J._______ wird eine posttraumatische Belastungsstörung diagnostiziert.</w:t>
      </w:r>
    </w:p>
    <w:p>
      <w:r>
        <w:rPr>
          <w:b/>
        </w:rPr>
        <w:t>E. 4.4.3.1</w:t>
      </w:r>
    </w:p>
    <w:p>
      <w:r>
        <w:t>Gemäss ständiger Rechtsprechung kann aus medizinischen Gründen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als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statt vieler etwa das Urteil E 7135/2010 vom 26. November 2012 mit Hinweis unter anderem auf BVGE 2009/2 E. 9.3.2 S. 21).</w:t>
      </w:r>
    </w:p>
    <w:p>
      <w:r>
        <w:rPr>
          <w:b/>
        </w:rPr>
        <w:t>E. 4.4.3.2</w:t>
      </w:r>
    </w:p>
    <w:p>
      <w:r>
        <w:t>In diesem Zusammenhang ist festzustellen, dass der Beschwerdeführer nach seiner Rückkehr nach Bosnien-Herzegowina im Jahr 2001 keine entsprechende Behandlung in Anspruch genommen und verschiedenen Erwerbstätigkeiten - die hier geltend gemachte zeitweise Arbeitslosigkeit war ökonomisch bedingt - nachgehen konnte. Auch hat er bei der Befragung ausgeführt, es sei ihm nach der Heimkehr gutgegangen, er habe keine Hilfe benötigt, wenn er nicht belästigt worden sei (vgl. Befragungsprotokoll S. 10 f. 71 und Vernehmlassung des BFM vom 1. Juni 2010 S. 2). Im genannten Arztbericht wird zwar festgehalten, dass beim Beschwerdeführer Störungen im Alltag weiter vorhanden seien, er sich zum Beispiel in der Anwesenheit Unbekannter unsicher fühle, nicht öffentliche Transportmittel benutzen könne und auch unter Schlafstörungen leide. Es wird aber auch festgehalten, seine Ängste würden nicht mehr psychotischen Charakter aufweisen. Die fachärztliche Diagnose ist nachvollziehbar begründet und als solche nicht zu bezweifeln; sie muss aber durch die Feststellung ergänzt werden, dass die Asylvorbringen der Beschwerdeführenden, die im Arztbericht ebenfalls aufgeführt werden, vom BFM zu einem grossen Teil auch als unglaubhaft qualifiziert wor­den sind (was in der auf den Vollzug der Wegweisung beschränkten Beschwerde nicht eigentlich bestritten wird).</w:t>
      </w:r>
    </w:p>
    <w:p>
      <w:r>
        <w:rPr>
          <w:b/>
        </w:rPr>
        <w:t>E. 4.4.3.3</w:t>
      </w:r>
    </w:p>
    <w:p>
      <w:r>
        <w:t>Die Vorinstanz wies in der Vernehmlassung vom 1. Juni 2010 zutreffend darauf hin, dass entsprechende Therapie- und Behandlungsmöglichkeiten in Bosnien-Herzegowina vorhanden seien: Seit 1995 wurden in Bosnien-Herzegowina kontinuierlich Institutionen aufgebaut, die sich auf die Behand­lung von psychischen Krankheiten und namentlich posttraumatischen Belas­tungsstörungen spezialisiert haben. Im Urteil D-7122/2006 vom 3. Juni 2008 wurde festgehalten, dass in den grösse­ren Städten Bosnien-Herzegowinas seit Beendigung des Krieges zahlreiche Kliniken und Spezialeinrichtungen für die Behand­lung traumatisierter Menschen aufgebaut worden seien und die gängigen Behandlungen landesweit ohne Weiteres, komplexe Behandlungen in den grossen Städten vorgenommen werden könnten; vor allem in Städten würden Einrichtungen sowie Fachpersonal für die Behandlung psychisch Kranker bestehen. Problematisch sei indessen die chronische Überlastung und angesichts qualitativ schlechter Krankenkassen die fehlende Finanzierung. Der Beschwerdeführer hatte seinen letzten Wohnsitz jeweils etwa (...) Stunden von Tuzla und Sarajewo entfernt. Namentlich in Tuzla ist neben der landesweit verbreiteten vorwiegend medikamentösen Behandlung psychischer Krankheiten zusätzlich auch eine ambulante psychiatrische Behandlung möglich. Diesbezüglich bestehen zwar Wartezeiten, aber neben den psychiatrischen Kliniken bieten in Bosnien-Herzegowina auch einige NGO's, die primär in den grossen Städten (v.a. auch in Tuzla) tätig sind, qualifizierte Psychotherapien an (vgl. Europarat, Report by Thomas Hammarberg, Commissioner for Human Rights of the Council of Europe, Following his visit to Bosnia and Herzegovina on 27-30 November 2010, 29.03.2011, https://wcd.coe.int/ViewDoc.jsp?id=1766837, abgerufen am 04.03.2013; SFH, "Bosnien-Herzegowina: Behandlung psychischer Erkrankung" vom 30. April 2009 und der von den Beschwerdeführern eingereichte Bericht des SFH vom 12. Juli 2010). Im Bericht der SFH vom 12. Juli 2010 wird zwar festgehalten, die Angebote der NGOs seien am Abnehmen begriffen. Andererseits wird darauf hingewiesen, dass es in den grösseren Städten (so in Tuzla und Sarajewo) Mental-Health-Zentren gibt, die diesbezüglich regelmässige Angebote bieten. Auch dem letzten Bericht der Internationalen Migrationsorganisation ist zu entnehmen, dass das Personal der Gemeinde-Behandlungszentren ("dom zdravlja") aus einem Team aus praktischen Ärzten sowie einigen Fach-und Zahnärzten besteht, die auch psychiatrische Behandlungen vornehmen (IOM, Länderinformationsblatt Bosnien und Herzegowina, 31.10.2012, http://www. bamf.de/SharedDocs/MILo-DB/DE/Rueckkehrfoerderung/Laenderinforma tionen/Informationsblaetter/cfs-bosnien-herzegowina-download-deutsch. pdf;jsessionid=57737FA13B18353508A06B548EA26AC9.1_cid286?__blob=publicationFile, abgerufen am 04.03.2013). Es ist folglich davon auszugehen, dass der Beschwerdeführer bei einer Rückkehr im Bedarfsfall grundsätzlich Zugang zu einer adäquaten psychiatrischen Behandlung finden wird.</w:t>
      </w:r>
    </w:p>
    <w:p>
      <w:r>
        <w:rPr>
          <w:b/>
        </w:rPr>
        <w:t>E. 4.4.3.4</w:t>
      </w:r>
    </w:p>
    <w:p>
      <w:r>
        <w:t>Was die möglicherweise problematische Finanzierung von medizinischen Behandlungen betrifft, ergibt sich aus den Akten und wurde oben (E. 4.4.2) festgehalten, dass der Beschwerdeführer neben der medizinischen Rückkehrhilfe, die er bei den schweizerischen Behörden beantragen kann, auch auf finanzielle Unterstützung seiner Verwandtschaft zählen kann. Zudem ist anzunehmen, er finde aufgrund seiner Berufserfahrung und seines Alters wieder einen Arbeitsplatz. Insgesamt ist davon auszugehen, dass allfällige Behandlungskosten bei seiner Rückkehr durch die Rückkehrhilfe gedeckt sind, bis er sich soweit reintegriert hat, um aus seinen eigenen Einkünften schöpfen zu können (vgl. auch Urteil E-7135/2010 vom 26. November 2012 S. 14).</w:t>
      </w:r>
    </w:p>
    <w:p>
      <w:r>
        <w:rPr>
          <w:b/>
        </w:rPr>
        <w:t>E. 4.5</w:t>
      </w:r>
    </w:p>
    <w:p>
      <w:r>
        <w:t>Zusammenfassend erweist sich nach dem Gesagten der Vollzug der Wegweisung als zumutbar.</w:t>
      </w:r>
    </w:p>
    <w:p>
      <w:r>
        <w:rPr>
          <w:b/>
        </w:rPr>
        <w:t>E. 4.6</w:t>
      </w:r>
    </w:p>
    <w:p>
      <w:r>
        <w:t>Im Rahmen der Definition der konkreten Modalitäten des Wegweisungs­vollzugs werden die kantonalen Behörden der gesundheitlichen Situation Rechnung zu tragen haben. Dabei wird nötigenfalls nament­lich in Zusammenarbeit mit den behandelnden Ärzten sicherzustellen sein, dass die für die Rückreise allenfalls notwendi­gen Medikamente mitgegeben werden.</w:t>
      </w:r>
    </w:p>
    <w:p>
      <w:r>
        <w:rPr>
          <w:b/>
        </w:rPr>
        <w:t>E. 4.7</w:t>
      </w:r>
    </w:p>
    <w:p>
      <w:r>
        <w:t>Schliesslich obliegt es den Beschwerdeführenden,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4.8</w:t>
      </w:r>
    </w:p>
    <w:p>
      <w:r>
        <w:t>Zusammenfassend hat die Vorinstanz den Wegweisungsvollzug zu Recht als zulässig, zumutbar und möglich bezeichnet. Nach dem Gesagten fällt eine Anordnung der vorläufigen Aufnahme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abzuweisen.</w:t>
      </w:r>
    </w:p>
    <w:p>
      <w:r>
        <w:rPr>
          <w:b/>
        </w:rPr>
        <w:t>E. 6</w:t>
      </w:r>
    </w:p>
    <w:p>
      <w:r>
        <w:t>Bei diesem Ausgang des Verfahrens wären die Kosten den Beschwerde­führenden aufzuerlegen (Art. 63 Abs. 1 VwVG). Gemäss Akten verfügen diese aktuell weiterhin nicht über ein geregeltes Erwerbseinkommen, und die Beschwerde konnte auch nicht als aussichtslos im Sinn von Art. 65 Abs. 1 VwVG beurteilt werden. In Gutheissung des Gesuchs um Gewährung der unentgeltlichen Prozessführung werden daher vorliegend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