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E-2978/2010 vom 11. Mai 2010</w:t>
      </w:r>
    </w:p>
    <w:p>
      <w:r>
        <w:t>Bundesverwaltungsgericht, 2010-05-11, DE</w:t>
      </w:r>
    </w:p>
    <w:p>
      <w:r>
        <w:rPr>
          <w:b/>
        </w:rPr>
        <w:t xml:space="preserve">Quelle: </w:t>
      </w:r>
      <w:r>
        <w:t>https://mcp.opencaselaw.ch/entscheid/bvger_E-2978_2010</w:t>
      </w:r>
    </w:p>
    <w:p>
      <w:r>
        <w:t>FR: TAF E-2978/2010 du 11 mai 2010</w:t>
      </w:r>
    </w:p>
    <w:p>
      <w:r>
        <w:t>IT: TAF E-2978/2010 del 11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aus, der Beschwerdeführer fühle sich bedroht, weil er in seinen Berichten über die (...) seines Landes die srilankische Regierung kritisiert habe. Dazu stellt die Vorinstanz fest, der Beschwerdeführer habe seit 1982 als (...) gearbeitet, an diversen Tagungen und Konferenzen (...) teilgenommen und bislang keine Probleme mit den srilankischen Sicherheitsbehörden gehabt. Vielmehr zahle ihm die srilankische Regierung, obwohl er (...) untergetaucht sei und sich seither mehr oder weniger im Urlaub befinde, weiterhin (...). Vor diesem Hintergrund sei eine Verfolgung seitens der srilankischen Sicherheitsbehörden ausgeschlossen. Folglich habe der Beschwerdeführer, was die Todesdrohung vom (...) 2008 anbelange, grundsätzlich die Möglichkeit, bei der Polizei Anzeige zu erstatten. Es könne erwartet werden, dass der srilankische Staat seine Schutzpflicht im Rahmen des Möglichen wahrnehme. Im Einzelfall könne es zwar vorkommen, dass die Schutzgewährung unterbleibe oder nicht in ausreichendem Masse gewährt werde, aber eine faktische Garantie des Schutzgewährens für langfristigen individuellen Schutz bedrohter Personen könne nicht verlangt werden. Keinem Staat gelinge es, die absolute Sicherheit aller seiner Bürger jederzeit und überall zu garantieren. Einen besonderen Personenschutz würden nur einige wenige, besonders gefährdete Personen erhalten, denen der Beschwerdeführer aufgrund seines Profils nicht zugerechnet werden könne. Sodann habe sich der Beschwerdeführer seit Ende 2008 unbehelligt in (...) aufhalten können, und auch seine in (...) lebende Ehefrau sei nicht bedroht worden. Des Weitern habe er Verwandte im Ausland und verfüge über entsprechende finanzielle Mittel sowie die notwendige Auslanderfahrung, um Sri Lanka zu verlassen. Da er bislang nicht ausgereist sei, sei zu schliessen, dass keine akute Gefährdung vorliege. Der Beschwerdeführer weise demnach kein Gefährdungsprofil auf, das im heutigen Zeitpunkt mit erheblicher Wahrscheinlichkeit auf eine Verfolgung schliessen liesse, womit die geltend gemachten Vorbringen nicht einreiserelevant seien.</w:t>
      </w:r>
    </w:p>
    <w:p>
      <w:r>
        <w:rPr>
          <w:b/>
        </w:rPr>
        <w:t>E. 5.2</w:t>
      </w:r>
    </w:p>
    <w:p>
      <w:r>
        <w:t>In der Rechtsmitteleingabe macht der Beschwerdeführer geltend, er sei Mitglied der (...). Sein jüngerer Bruder sei Mitglied der LTTE und seit dem Vanni-Krieg verschwunden. Er sei zweimal von Unbekannten zu Hause aufgesucht und über den Verbleib seines Bruders befragt worden. Deshalb könne er nicht in seiner Wohnung bleiben.</w:t>
      </w:r>
    </w:p>
    <w:p>
      <w:r>
        <w:rPr>
          <w:b/>
        </w:rPr>
        <w:t>E. 5.3</w:t>
      </w:r>
    </w:p>
    <w:p>
      <w:r>
        <w:t>Der Beschwerdeführer verweist in der Rechtsmitteleingabe auf seine Mitgliedschaft bei der (...). Diesbezüglich gab er anlässlich der Anhörung durch die Botschaft zu Protokoll, er würde diese Organisation lediglich moralisch unterstützen (vgl. Protokoll vom 1. Juli 2009, S. 6). Bei dieser Sachlage ist nicht ersichtlich, inwiefern für den Beschwerdeführer aus dieser Mitgliedschaft eine asylrelevante Gefährdung resultieren soll. Erklärende Angaben werden in der Rechtsmit- teleingabe nicht gemacht und sind auch den Akten nicht zu entnehmen. Was die angeblichen zwei Vorsprachen von Unbekannten in der Wohnung anbelangt, so haben diese wohl der Suche nach dem seit längerem verschwundenen Bruder gegolten, und jedenfalls hatten sie für den Beschwerdeführer offenbar keine Konsequenzen. Er macht denn auch nicht geltend, von diesen Unbekannten in asylrelevanter Weise belangt worden zu sein. Allein die Angst vor einer allfälligen künftigen Verfolgung genügt nicht, um auf das Vorliegen einer begründeten Furcht vor künftiger Verfolgung zu schliessen. Schliesslich legt der Beschwerdeführer mit seinen weiteren Ausführungen in der Rechtsmitteleingabe, welche sich im Wesentlichen auf das blosse Wiederholen der aktenkundigen Asylvorbringen beschränken, auch nicht substanziiert dar, inwiefern das BFM zu Unrecht geschlossen habe, er sei nicht schutzbedürftig im Sinne des AsylG, und ihm sei die Einreise zu Unrecht nicht bewilligt worden. Um diesbezüglich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darzulegen. Damit ist dem Beschwerdeführer ein weiterer Verbleib im Heimatland zumutbar. Das BFM hat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