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E-2974/2012 vom 6. Juni 2012</w:t>
      </w:r>
    </w:p>
    <w:p>
      <w:r>
        <w:t>Bundesverwaltungsgericht, 2012-06-06, DE</w:t>
      </w:r>
    </w:p>
    <w:p>
      <w:r>
        <w:rPr>
          <w:b/>
        </w:rPr>
        <w:t xml:space="preserve">Quelle: </w:t>
      </w:r>
      <w:r>
        <w:t>https://mcp.opencaselaw.ch/entscheid/bvger_E-2974_2012</w:t>
      </w:r>
    </w:p>
    <w:p>
      <w:r>
        <w:t>FR: TAF E-2974/2012 du 6 juin 2012</w:t>
      </w:r>
    </w:p>
    <w:p>
      <w:r>
        <w:t>IT: TAF E-2974/2012 del 6 giugno 2012</w:t>
      </w:r>
    </w:p>
    <w:p>
      <w:pPr>
        <w:pStyle w:val="Heading2"/>
      </w:pPr>
      <w:r>
        <w:t>Regeste</w:t>
      </w:r>
    </w:p>
    <w:p>
      <w:r>
        <w:t>Nichteintreten auf Asylgesuch (kein Asylgesuch gemäss AsylG)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des Asyl-gesetzes vom 26. Juni 1998 [AsylG, SR 142.31]).</w:t>
      </w:r>
    </w:p>
    <w:p>
      <w:r>
        <w:rPr>
          <w:b/>
        </w:rPr>
        <w:t>E. 1.2</w:t>
      </w:r>
    </w:p>
    <w:p>
      <w:r>
        <w:t>Der Beschwerdeführer ist als Verfügungsadressat zur Beschwerdeführung legitimiert (Art. 48 VwVG). Auf die frist- und formgerecht eingereichte Beschwerde (Art. 108 Abs. 1 AsylG und Art. 52 VwVG) ist einzutreten. 2.2.1 Mit Beschwerde kann die Verletzung von Bundesrecht, die unrichtige oder unvollständige Feststellung des rechtserheblichen Sachverhalts und die Unangemessenheit gerügt werden (Art. 106 Abs. 1 AsylG). 2.2 Die Beschwerde erweist sich als offensichtlich unbegründet und ist im Verfahren einzelrichterlicher Zuständigkeit mit Zustimmung eines zweiten Richters (Art. 111 Bst. e AsylG) mit summarischer Begründung zu behandeln (Art. 111a Abs. 1 und 2 AsylG). 3.3.1 Gemäss Art. 7 AsylG muss, wer um Asyl nachsucht,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3.2 Die Flüchtlingseigenschaft gemäss Art. 3 AsylG erfüllt eine asylsuchende Person,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liegt vor, wenn konkreter Anlass zur Annahme besteht, eine Verfolgung hätte sich mit beachtlicher Wahrscheinlichkeit und in absehbarer Zeit verwirklicht beziehungsweise werde sich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BVGE 2010/44 E. 3.4). 3.3 Der Beschwerdeführer macht in seiner Rechtsmitteleingabe nach einer Rekapitulation der bereits früher geltend gemachten Vorkommnisse unter Hinweis auf zahlreiche Quellen (vgl. Beschwerde S. 5 ff.) geltend, auch nach Beendigung des Bürgerkrieges würden Personen, die wie er in Verdacht stünden, mit den LTTE (Liberation Tigers of Tamil Eelam) in Verbindung zu stehen oder gestanden zu haben, einer erhöhten Verfolgungsgefahr unterliegen. Vorliegend sei deshalb der Wegweisungsvollzug unzulässig und auch unzumutbar, da namentlich ein tragfähiges Beziehungsnetz und die konkrete Möglichkeit der Existenzsicherung nicht gegeben sei. 3.4 Die Vorinstanz begründete ihren angefochtenen Entscheid mit der Feststellung, dass die Vorbringen des Beschwerdeführers asylrechtlich unbeachtlich seien, da sich die Lage in Sri Lanka seit Beendigung des Bürgerkrieges entspannt sowie verbessert habe und nicht zu erwarten sei, die sri-lankischen Behörden hätten heute ein ernsthaftes Interesse an seiner Person. Übereinstimmend mit dem BFM kommt das Gericht zum Schluss, dass ein Motiv für eine Verfolgung des Beschwerdeführers in der Tat nicht auszumachen ist. 3.5 Der Hinweis in der Rechtsmitteleingabe, der Beschwerdeführer sei insbesondere wegen seines B._______ gefährdet, der seit dem Jahre 2003 bei den LTTE gewesen sei, vermag an dieser Schlussfolgerung nichts zu ändern. Die geltend gemachten Übergriffe von Soldaten auf den Beschwerdeführer haben sich im Januar 2009 und mithin vor dem Kriegs-ende ereignet. Zudem haben ihm die Behörden im März 2009 einen Pass ausgestellt (vgl. Akten BFM A1/8 Ziff. 13.1), was nicht der Fall gewesen wäre, wenn sie ihn ernsthaft regierungsfeindlicher Aktivitäten verdächtigt hätten. Dass seit der Bundesanhörung im März 2009 wiederholt Soldaten zuhause nach ihm gesucht haben sollen, ist durch nichts belegt, und das weitere Vorbringen, die Familie sei seit dem Tod des C._______ fürsorgeabhängig und beziehe Lebensmittel vom Staat, ist im vorliegenden Kontext (begründete Furcht vor Verfolgung) nicht von Bedeutung. 3.6 Zusammenfassend ergibt sich, dass der Beschwerdeführer die Flüchtlingseigenschaft nicht erfüllt und die Vorinstanz das Asylgesuch zu Recht abgelehnt hat. 4.Gemäss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S. 733). Das BFM hat die Anordnung der Wegweisung demnach zu Recht verfügt. 5.5.1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5.2 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verbotenen Strafe oder Behandlung ausgesetzt wäre. Der Wegweisungsvollzug ist demnach zulässig. 6.6.1 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nahm im Grundsatzurteil BVGE 2011/24 eine umfassende Analyse der Situation in Sri Lanka vor. Danach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(vgl. Urteil a.a.O. E. 13.1). Die Lage in der Nordprovinz ist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sorgfältige,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a.a.O. E. 13.2.1). 6.2 Der gemäss Aktenlage alleinstehende, gesunde junge Beschwerdeführer, der Sri Lanka nur Wochen (Einreise am 24. März 2009) vor der Beendigung des Krieges und der totalen Niederlage und Vernichtung der LTTE am 16. Mai 2009 verlassen hat, stammt aus (...), wo er den grössten Teil seines Lebens verbracht und jahrelang als Verkäufer gearbeitet hat. Gemäss seinen Angaben anlässlich der Kurzbefragung (D._______ und E._______, wo B._______. sich aufhalte, wisse er nicht, vgl. A1/8 Ziff. 12) und anderslautender Information im weiteren Verfahren lebt seine Familie in (...), wobei in der Beschwerde vorgebracht wird, alle Verwandten würden im selben Haus wohnen und seien fürsorgeabhängig. Diese Fürsorgeabhängigkeit ist indessen durch nichts belegt, was die Vermutung nahelegt, dass die Angehörigen zwar in schwierigen, aber nicht unerträglichen Verhältnissen leben, was für einen nicht geringen Teil der dortigen Bevölkerung gilt. Der Wegweisungsvollzug erweist sich somit als zumutbar. 7.Nach Art. 83 Abs. 2 AuG ist der Wegweisungsvollzug schliesslich auch als möglich zu bezeichnen, da es dem Beschwerdeführer obliegt, sich bei der zuständigen Vertretung des Heimatstaates die für eine Rückkehr notwendigen Reisedokumente zu beschaffen (Art. 8 Abs. 4 AsylG; vgl. dazu BVGE 2008/34 E. 12). 8.Die Vorinstanz hat den Wegweisungsvollzug zu Recht als zulässig, zumutbar und möglich erachtet, weshalb die Anordnung der vorläufigen Aufnahme ausser Betracht fällt. 9.Aus diesen Erwägungen ergibt sich, dass die angefochtene Verfügung Bundesrecht nicht verletzt und auch sonst nicht zu beanstanden ist (vgl. Art. 106 AsylG). Die Beschwerde ist abzuweisen. 10.Bei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