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E-2970/2014 vom 7. Mai 2015</w:t>
      </w:r>
    </w:p>
    <w:p>
      <w:r>
        <w:t>Bundesverwaltungsgericht, 2015-05-07, DE</w:t>
      </w:r>
    </w:p>
    <w:p>
      <w:r>
        <w:rPr>
          <w:b/>
        </w:rPr>
        <w:t xml:space="preserve">Quelle: </w:t>
      </w:r>
      <w:r>
        <w:t>https://mcp.opencaselaw.ch/entscheid/bvger_E-2970_2014</w:t>
      </w:r>
    </w:p>
    <w:p>
      <w:r>
        <w:t>FR: TAF E-2970/2014 du 7 mai 2015</w:t>
      </w:r>
    </w:p>
    <w:p>
      <w:r>
        <w:t>IT: TAF E-2970/2014 del 7 maggio 2015</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2</w:t>
      </w:r>
    </w:p>
    <w:p>
      <w:r>
        <w:t>Die vorliegende Beschwerde richtet sich nur gegen die von der Vorinstanz verfügte Wegweisung beziehungsweise deren Vollzug. Damit ist die Verfügung des BFM vom 29. April 2014, soweit sie die Verneinung der Flüchtlingseigenschaft und Verweigerung des Asyls betrifft (Dispositivziffern 1 und 2 der angefochtenen Verfügung), in Rechtskraft erwachsen.</w:t>
      </w:r>
    </w:p>
    <w:p>
      <w:r>
        <w:rPr>
          <w:b/>
        </w:rPr>
        <w:t>E. 3.1</w:t>
      </w:r>
    </w:p>
    <w:p>
      <w:r>
        <w:t>Gemäss Art. 44 Abs. 1 AsylG verfügt das SEM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3.2</w:t>
      </w:r>
    </w:p>
    <w:p>
      <w:r>
        <w:t>Nach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(vgl. BVGE 2013/37 E.4.4 m.w.H.).</w:t>
      </w:r>
    </w:p>
    <w:p>
      <w:r>
        <w:rPr>
          <w:b/>
        </w:rPr>
        <w:t>E. 4.1</w:t>
      </w:r>
    </w:p>
    <w:p>
      <w:r>
        <w:t>Der Beschwerdeführer verfügt weder über eine ausländerrechtliche Niederlassungs- oder Aufenthaltsbewilligung noch über einen Anspruch auf Erteilung einer Aufenthaltsbewilligung gemäss dem Ausländergesetz vom 16. Dezember 2005 (AuG; SR 142.20) oder dem Freizügigkeitsabkommen. Er beruft sich indes auf Art. 8 EMRK.</w:t>
      </w:r>
    </w:p>
    <w:p>
      <w:r>
        <w:rPr>
          <w:b/>
        </w:rPr>
        <w:t>E. 4.2</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Ausländerinnen und Ausländer, deren Familienangehörige hier weilen, die Anwesenheit untersagt und damit das Familienleben vereitelt wird. Gestützt auf den in Art. 8 EMRK (und Art. 13 BV) gewährleisteten Schutz des Familienlebens erwächst dann ein potenzieller Anspruch auf Aufenthalt in der Schweiz, wenn intakte und tatsächlich gelebte Familienbande zu nahen Verwandten bestehen, die über ein gefestigtes Anwesenheitsrecht in der Schweiz verfügen, was praxisgemäss der Fall ist, wenn der sich in der Schweiz aufhaltende Angehörige das Schweizer Bürgerrecht oder eine Niederlassungsbewilligung besitzt oder über eine Aufenthalts-bewilligung verfügt, die ihrerseits auf einem gefestigten Rechtsanspruch beruht (vgl. BGE 135 I 143 E. 1.3.1 S. 145 f., 130 II 281 E. 3.1 S. 285 f., Entscheidungen und Mitteilungen der Schweizerischen Asylrekurskommission [EMARK] 2005 Nr. 3 E. 3.1 S. 31 f.). Art. 8 EMRK geht indes von einem weiten Familienbegriff aus. Erfasst wird nicht nur die sogenannte Kernfamilie (Ehegatten und minderjährigen Kinder), sondern auch Beziehungen zu weiteren nahen Angehörigen, sofern eine genügend nahe, echte und tatsächlich gelebte Beziehung unter ihnen und ein besonderes Abhängigkeitsverhältnis besteht (vgl. BVGE 2008/47 E. 4.1.1).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w:t>
      </w:r>
    </w:p>
    <w:p>
      <w:r>
        <w:rPr>
          <w:b/>
        </w:rPr>
        <w:t>E. 4.3</w:t>
      </w:r>
    </w:p>
    <w:p>
      <w:r>
        <w:t>Mit Verfügung vom 21. Juni 2011 anerkannte das BFM die Mutter des Beschwerdeführers als Flüchtling und gewährte ihr Asyl. Folglich verfügt sie über ein gefestigtes Anwesenheitsrecht in der Schweiz im Sinne der Rechtsprechung (vgl. E. 4.2). Der Beschwerdeführer beruft sich sodann auf eine tatsächlich gelebte Beziehung sowie auf ein besonderes Abhängigkeitsverhältnis zwischen ihm und seiner kranken Mutter und legt hierzu verschiedene Belege ins Recht. Aufgrund des Gesagten besteht allenfalls ein Anspruch des Beschwerdeführers auf Erteilung einer Aufenthaltsbewilligung gestützt auf Art. 8 EMRK. Die Vorinstanz hat in ihrer angefochtenen Verfügung lediglich lapidar festgehalten, dass die vom Beschwerdeführer als seine Mutter deklarierte Frau [Krankheit], was in Bezug auf seine Wegweisung jedoch nicht relevant sei; er habe bis vor kurzem keinen Kontakt zu ihr gehabt und sie sei in der Schweiz überdies bestens versorgt. Somit hat es die Vorinstanz gänzlich unterlassen zu prüfen, ob ein Anspruch des Beschwerdeführers aus Art. 8 EMRK besteht. Dieses Versäumnis wurde auch auf Vernehmlassungsstufe nicht nachgeholt, weshalb vorliegend die Begründungspflicht und somit der Anspruch des Beschwerdeführers auf rechtliches Gehör verletzt wurde. Sofern die Vorinstanz im Übrigen Zweifel an der geltend gemachten Mutter-Kind-Beziehung hegt, wäre sie gehalten gewesen, weitere Abklärungen zu treffen (namentlich Einholen eines Abstammungsgutachtens) respektive den Beschwerdeführer zumindest aufzufordern, dieses geltend gemachte Familienverhältnis mittels weiterer Beweismittel zu belegen beziehungsweise glaubhaft zu machen. Folglich ist die Vorinstanz ihrer Begründungspflicht nicht nachgekommen beziehungsweise hat den rechtserheblichen Sachverhalt unvollständig festgestellt.</w:t>
      </w:r>
    </w:p>
    <w:p>
      <w:r>
        <w:rPr>
          <w:b/>
        </w:rPr>
        <w:t>E. 5</w:t>
      </w:r>
    </w:p>
    <w:p>
      <w:r>
        <w:t>Das Bundesverwaltungsgericht entscheidet in der Regel reformatorisch. Nur ausnahmsweise wird eine angefochtene Verfügung kassiert und an die Vorinstanz zurückgewiesen. Vorliegend liegt der Mangel der angefochtenen Verfügung in der Verletzung der Begründungspflicht beziehungsweise in einer unvollständigen Abklärung des Sachverhalts. Unter den vorliegenden Umständen rechtfertigt sich gemäss Praxis des Bundesverwaltungsgerichts die Kassation der angefochtenen Verfügung. Zudem bleibt dem Beschwerdeführer auf diese Weise der Instanzenzug erhalten, was umso wichtiger ist, als im Asylverfahren das Bundesverwaltungsgericht letztinstanzlich entscheidet (vgl. dazu BVGE 2009/53 E. 7.3, BVGE 2008/47 E. 3.3.4, BVGE 2008/14 E. 4.1). Das SEM ist insbesondere anzuweisen, vorfrageweise zu prüfen, ob der Beschwerdeführer einen grundsätzlichen Anspruch auf Erteilung einer Aufenthaltsbewilligung hat. Anschliessend ist gegebenenfalls festzustellen, dass der Entscheid über den weiteren Aufenthalt in der Schweiz oder eine Wegweisung aus der Schweiz in die Zuständigkeit der kantonalen Migrationsbehörde falle; andernfalls ist über den weiteren Aufenthalt in der Schweiz oder eine Wegweisung aus der Schweiz zu befinden und allfällige Wegweisungsvollzugshindernisse sind zu prüfen. Damit erübrigt es sich zum heutigen Zeitpunkt, auf die Ausführungen in der Beschwerde zu den geltend gemachten Vollzugshindernissen einzugehen.</w:t>
      </w:r>
    </w:p>
    <w:p>
      <w:r>
        <w:rPr>
          <w:b/>
        </w:rPr>
        <w:t>E. 6</w:t>
      </w:r>
    </w:p>
    <w:p>
      <w:r>
        <w:t>Zusammenfassend ist festzuhalten, dass die Verfügung des BFM vom 29. April 2014 im Wegweisungspunkt Bundesrecht verletzt. Die Beschwerde ist daher gutzuheissen, die Dispositivziffern 3, 4 und 5 der angefochtenen Verfügung sind aufzuheben und die Sache ist an die Vorinstanz zur Neubeurteilung zurückzuweisen.</w:t>
      </w:r>
    </w:p>
    <w:p>
      <w:r>
        <w:rPr>
          <w:b/>
        </w:rPr>
        <w:t>E. 7.1</w:t>
      </w:r>
    </w:p>
    <w:p>
      <w:r>
        <w:t>Beim vorliegenden Verfahrensausgang sind keine Verfahrenskosten aufzuerlegen (Art. 63 Abs. 1 und 2 VwVG). Das Gesuch um Gewährung der unentgeltlichen Prozessführung wird obsolet.</w:t>
      </w:r>
    </w:p>
    <w:p>
      <w:r>
        <w:rPr>
          <w:b/>
        </w:rPr>
        <w:t>E. 7.2</w:t>
      </w:r>
    </w:p>
    <w:p>
      <w:r>
        <w:t>Der obsiegenden Partei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Das Gesuch um Gewährung der unentgeltlichen Rechtsverbeiständung wird obsolet. Das Bundesverwaltungsgericht erachtet den in der eingereichten Kostennote ausgewiesenen zeitlichen Vertretungsaufwand - unter Berücksichtigung der massgebenden Berechnungsfaktoren (Art. 8 - 13 VGKE) - als angemessen. Die Parteientschädigung ist auf Fr. 2'525.70 (inkl. Auslagen und Mehrwertsteuer) festzusetzen. Die Vorinstanz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