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E-2968/2020 vom 22. Juli 2020</w:t>
      </w:r>
    </w:p>
    <w:p>
      <w:r>
        <w:t>Bundesverwaltungsgericht, 2020-07-22, DE</w:t>
      </w:r>
    </w:p>
    <w:p>
      <w:r>
        <w:rPr>
          <w:b/>
        </w:rPr>
        <w:t xml:space="preserve">Quelle: </w:t>
      </w:r>
      <w:r>
        <w:t>https://mcp.opencaselaw.ch/entscheid/bvger_E-2968_2020</w:t>
      </w:r>
    </w:p>
    <w:p>
      <w:r>
        <w:t>FR: TAF E-2968/2020 du 22 juillet 2020</w:t>
      </w:r>
    </w:p>
    <w:p>
      <w:r>
        <w:t>IT: TAF E-2968/2020 del 22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Abs.1 AsylG wurde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Massgeblich für die Beurteilung der Flüchtlingseigenschaft nach Art. 3 AsylG ist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oder Ereignisse,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(namentlich exilpolitische Betätigung) eine Verfolgung im Sinne von Art. 3 AsylG zu befürchten hat. Personen mit subjektiven Nachfluchtgründen erhalten zwar kein Asyl, werden jedoch als Flüchtlinge vorläufig aufgenommen (vgl. BVGE 2010/44 E. 3.5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die formelle Rüge, das SEM habe den rechtserheblichen Sachverhalt nicht vollständig erstellt und das rechtliche Gehör des Beschwerdeführers verletzt, zu beurteilen, da sie allenfalls geeignet wäre, eine Kassation der vorinstanzlichen Verfügung zu bewirken. Der Beschwerdeführer macht geltend, die Vorinstanz habe die notwendigen Abklärungen vor Abschluss des Asylverfahrens nicht vorgenommen, da sie ihn weder angehört noch schriftliche Ergänzungen eingeholt habe. Dadurch habe sie den rechtserheblichen Sachverhalt nicht vollständig erstellt und das rechtliche Gehör verletzt.</w:t>
      </w:r>
    </w:p>
    <w:p>
      <w:r>
        <w:rPr>
          <w:b/>
        </w:rPr>
        <w:t>E. 4.2</w:t>
      </w:r>
    </w:p>
    <w:p>
      <w:r>
        <w:t>Nach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111c Abs. 1 AsylG hat die Stellung von (Mehrfach-) Asylgesuchen, die innert fünf Jahren nach Eintritt der Rechtskraft des Asyl- und Wegweisungsentscheides eingereicht werden, schriftlich und begründet zu erfolgen. Vorliegend hat der Beschwerdeführer am 15. Oktober 2014 in der Schweiz erstmals um Asyl ersucht. Das Asylgesuch wurde mit Verfügung vom 26. Juni 2015 abgelehnt und die Verfügung ist unangefochten in Rechtskraft erwachsen. Das SEM hat somit das erneute Asylgesuch vom 15. November 2018 korrekterweise als Mehrfachgesuch entgegengenommen. Nach dem seit 1. Februar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Mehrfachgesuch, grundsätzlich in einem Aktenverfahren ohne weitere Anhörung der gesuchstellenden Person entschieden (vgl. Art. 111c AsylG). Mit den neuen Gesetzesbestimmungen von Art. 111b ff. AsylG wurden auch die formellen Anforderungen an die Eingabe von Folgegesuchen geändert. Folgegesuche sollen nur noch schriftlich und begründet eingereicht werden können. Dabei müssen Folgegesuche mindestens soweit begründet sein, dass sie die Behörde in die Lage versetzen, über das Gesuch zu entscheiden, auch ohne dass sie die gesuchstellende Person anhört. Die solchermassen vorgenommene Beschleunigung darf allerdings nicht auf Kosten der Rechtsstaatlichkeit der Verfahren erfolgen. Das Bundesverwaltungsgericht hat sich im Grundsatzentscheid BVGE 2014/39 vom 16. Dezember 2014 zu den Anforderungen an die genügende Begründung von Mehrfachgesuchen geäussert. Dabei wurde festgehalten, dass es durchaus denkbar ist, dass in einem Mehrfachgesuch (insbesondere bei erneuten Asylgesuchen von Personen, die zwischenzeitlich in ihr Heimatland zurückgekehrt sind) tatsächlich neue beachtliche Gründe für eine Verfolgung geltend gemacht werden, die in einer schriftlichen (Laien) Eingabe nicht ausführlich genug dargelegt werden könnten. Das AsylG regle nicht, ob, beziehungsweise in welchen Fällen das SEM einer ein Wiedererwägungs- oder Mehrfachgesuch stellenden Person Gelegenheit zur Verbesserung oder Ergänzung des Gesuchs einräumen müsse. Daher seien bei ungenügender Einhaltung der Formvorschriften die Regeln über die Verbesserung der Beschwerde nach Art. 52 VwVG analog anzuwenden und sei demnach eine Frist zur Verbesserung der Eingabe einzuräumen. Ein solches Vorgehen sei auch dem Grundsatz des Verbots des überspitzten Formalismus geschuldet und mit Rücksicht auf die hochrangigen Rechtsgüter, welche Gegenstand des Asylverfahrens sind, geboten (vgl. BVGE 2014/39 E. 5.5).</w:t>
      </w:r>
    </w:p>
    <w:p>
      <w:r>
        <w:rPr>
          <w:b/>
        </w:rPr>
        <w:t>E. 4.4</w:t>
      </w:r>
    </w:p>
    <w:p>
      <w:r>
        <w:t>Das SEM hat somit auch im Verfahren eines Mehrfachgesuchs die Pflicht, den rechtserheblichen Sachverhalt abzuklären, wenn die schriftliche Eingabe nicht eine Begründungsdichte aufweist, welche den Behörden erlaubt, die neuen wesentlichen Asylgründe sorgfältig zu prüfen (vgl. BVGE 2014/39 E.5.5). Vorliegend verzichtete das SEM sowohl auf die Durchführung einer Anhörung des Beschwerdeführers als auch auf andere Instruktionsmassnahmen wie etwa die Unterbreitung schriftlicher Fragen oder die Aufforderung zur schriftlichen Gesuchsergänzung; das SEM stützte sich in seinem Entscheid einzig auf die Laieneingabe des Beschwerdeführers, in welcher dieser (auf weniger als einer A4-Seite) knapp auf die Reflexverfolgung aufgrund des Selbstmordanschlages seiner Tochter und die erhaltenen Drohungen sowie auf seine exilpolitischen Aktivitäten in der Schweiz hinwies (Mehrfachgesuch vom 15. November 2018 E.II.3.1). Das SEM hielt in seiner Verfügung dem Beschwerdeführer vor, er habe in seiner Eingabe weder schriftliche Details zu den erhaltenen Drohungen noch zu einer Reflexverfolgung angegeben und auch seine exilpolitischen Tätigkeiten in der Schweiz nicht weiter begründet, obschon von der Gesuchseinreichung bis zum Erlass der Verfügung des SEM vom 8. Mai 2020 eineinhalb Jahre vergangen seien, in denen er die Möglichkeit gehabt hätte, relevante Informationen nachzureichen und seine Eingabe zu präzisieren.</w:t>
      </w:r>
    </w:p>
    <w:p>
      <w:r>
        <w:rPr>
          <w:b/>
        </w:rPr>
        <w:t>E. 4.5</w:t>
      </w:r>
    </w:p>
    <w:p>
      <w:r>
        <w:t>Anhand der wenig ausführlichen Laieneingabe vom 15. November 2018 erachtet das Bundesverwaltungsgericht den Sachverhalt als nicht hinreichend erstellt, um eine tatsächliche Gefährdungslage des Beschwerdeführers feststellen und einen hinreichend begründeten Entscheid treffen zu können. Die erstmals im Mehrfachgesuch vorgebrachten Probleme aufgrund des durch die Tochter ausgeübten Selbstmordanschlages sowie die geltend gemachten exilpolitischen Tätigkeiten können anhand der Eingabe nicht umfassend und sorgfältig geprüft werden. Gleichzeitig ist der vom Beschwerdeführer geltend gemachte neue Sachverhalt potentiell durchaus geeignet, Asylrelevanz (im Sinne objektiver Nachfluchtgründe) beziehungsweise Relevanz für die Flüchtlingseigenschaft (im Sinne subjektiver Nachfluchtgründe) zu entfalten. Aufgrund der Aktenlage kann davon ausgegangen werden, dass es sich bei der Selbstmordattentäterin um die Tochter des Beschwerdeführers gehandelt hat und ihre Identität nach dem Anschlag der Öffentlichkeit bekannt wurde. In dem mit dem Mehrfachgesuch eingereichten Artikel wurde der Beschwerdeführer, als Vater der Selbstmordattentäterin, namentlich erwähnt. Angesichts der aktuellen Lage in Syrien und insbesondere in seinem Herkunftsort B._______ ist es durchaus möglich, dass für den Beschwerdeführer eine Reflexverfolgung vorliegen könnte beziehungsweise er aufgrund des Selbstmordanschlages seiner Tochter unter Berücksichtigung seiner eigenen seither vorgenommenen exilpolitischen Aktivitäten in der Schweiz erhebliche Nachteile bei einer Rückkehr nach Syrien zu befürchten hätte. Das SEM wäre vor diesem Hintergrund angehalten gewesen, weitere Instruktionsmassnahmen vorzunehmen und insbesondere abzuklären, inwiefern der Beschwerdeführer und weitere Angehörige nach dem Selbstmordanschlag bereits Benachteiligungen ausgesetzt gewesen seien und welche konkreten Drohungen der Beschwerdeführer erlitten habe. Auch seine eigenen exilpolitischen Aktivitäten hätten genauer beleuchtet werden müssen, um sein Risikoprofil zuverlässig einschätzen zu können. Die Argumentation des SEM, der Beschwerdeführer hätte seit der Einreichung des Gesuchs genügend Zeit gehabt, weitere Ergänzungen nachzureichen, greift zu kurz, da er vom SEM zu keinem Zeitpunkt zu weiteren Ergänzungen aufgefordert wurde, obschon er in seinem Gesuch darauf hinwies, dass konkrete Anhaltspunkte für drohende Verfolgungsmassnahmen vorhanden seien, welche noch festzustellen seien (Mehrfachgesuch vom 15. November 2018 E.II.3.1). Der Beschwerdeführer hat sein Gesuch ohne rechtliche Vertretung eingereicht und es ist anzunehmen, dass er mit den Verfahrensabläufen eines Mehrfachgesuches nicht vollständig vertraut war. Als Laie konnte der Beschwerdeführer nicht wissen, welche weiteren Informationen zur Beurteilung seiner Gefährdungslage für das SEM von Bedeutung gewesen wären und inwiefern Präzisierungen von ihm verlangt gewesen wären. Es hätte dem SEM oblegen, den Sachverhalt diesbezüglich mit geeigneten Instruktionsmassnahmen zu erstellen.</w:t>
      </w:r>
    </w:p>
    <w:p>
      <w:r>
        <w:rPr>
          <w:b/>
        </w:rPr>
        <w:t>E. 4.6</w:t>
      </w:r>
    </w:p>
    <w:p>
      <w:r>
        <w:t>Indem die Vorinstanz darauf verzichtete, dem Beschwerdeführer in analoger Anwendung von Art. 52 VwVG zumindest die Möglichkeit zur Verbesserung seiner knappen Eingabe vom 15. November 2018 einzuräumen und ihn auch nicht mündlich zu seinen glaubhaft, aber nur rudimentär dargelegten, gänzlich neuen Asylvorbringen anhörte, handelte sie überspitzt formalistisch und verletzte damit die dem Beschwerdeführer aus Art. 29 BV zustehenden Rechte. Gleichzeitig ist auch der rechtserhebliche Sachverhalt im Zusammenhang mit der im Mehrfachgesuch nur knapp begründeten drohenden Reflexverfolgung beziehungsweise den bereits erlittenen Drohungen sowie den geltend gemachten exilpolitischen Aktivitäten aufgrund der fehlenden weiteren Abklärung als nicht rechtsgenüglich erstellt zu erachten.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was sie vorliegend unterlassen hat (vgl. hierzu auch Urteil des BVGer D-1550/2020 vom 4. Mai 2020 E.4.2).</w:t>
      </w:r>
    </w:p>
    <w:p>
      <w:r>
        <w:rPr>
          <w:b/>
        </w:rPr>
        <w:t>E. 4.7</w:t>
      </w:r>
    </w:p>
    <w:p>
      <w:r>
        <w:t>Nach Durchsicht der Akten und nach den obigen Erwägungen muss festgestellt werden, dass die Vorinstanz den Sachverhalt - um eine Gefährdung des Beschwerdeführers feststellen zu können - nicht hinlänglich erstellt hat. Es liegt eine mangelhafte Sachverhaltsfeststellung und eine Verletzung des Anspruchs auf rechtliches Gehör vor.</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Da sich die Entscheidreife im vorliegenden Verfahren nicht mit geringem Aufwand herstellen lässt, ist es angezeigt, die angefochtene Verfügung gestützt auf Art. 61 Abs. 1 in fine VwVG aufzuheben und die Sache zwecks vollständiger Abklärung des rechtserheblichen Sachverhalts und zur Neubeurteilung an das SEM zurückzuweisen. Die Vorinstanz ist anzuweisen, in geeigneter Weise die geltend gemachte Reflexverfolgung sowie die exilpolitischen Tätigkeiten unter Würdigung der im Beschwerdeverfahren eingereichten Unterlagen abzuklären und die geltend gemachten (objektiven bzw. subjektiven) Nachfluchtgründe neu zu beurteilen. Die in der Beschwerde in Aussicht gestellten Beweismittel (Drohnachrichten) hat das SEM unter Fristansetzung beim Beschwerdeführer einzuholen. Die Beschwerdeschrift und die eingereichten Beilagen werden der Vorinstanz in Kopie zugestellt. Bei dieser Sachlage erübrigt sich eine weitere Auseinandersetzung mit den Vorbringen des Beschwerdeführers.</w:t>
      </w:r>
    </w:p>
    <w:p>
      <w:r>
        <w:rPr>
          <w:b/>
        </w:rPr>
        <w:t>E. 6</w:t>
      </w:r>
    </w:p>
    <w:p>
      <w:r>
        <w:t>Die Beschwerde ist demnach gutzuheissen, die angefochtene Verfügung ist aufzuheben, und die Sache ist im Sinne der Erwägungen an die Vorinstanz zurückzuweisen.</w:t>
      </w:r>
    </w:p>
    <w:p>
      <w:r>
        <w:rPr>
          <w:b/>
        </w:rPr>
        <w:t>E. 7</w:t>
      </w:r>
    </w:p>
    <w:p>
      <w:r>
        <w:t>Bei diesem Ausgang des Verfahrens sind keine Kosten zu erheben (Art. 63 Abs. 1 und 2 VwVG). Die mit Zwischenverfügung vom 15. Juni 2020 gewährte unentgeltliche Prozessführung wird dadurch nachträglich gegenstandslos.</w:t>
      </w:r>
    </w:p>
    <w:p>
      <w:r>
        <w:rPr>
          <w:b/>
        </w:rPr>
        <w:t>E. 8.1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8.2</w:t>
      </w:r>
    </w:p>
    <w:p>
      <w:r>
        <w:t>Es wurde keine Kostennote eingereicht, weshalb die notwendigen Parteikosten aufgrund der Akten zu bestimmen sind (Art. 14 Abs. 2 in fine VGKE). Das Gericht erachtet einen Arbeitsaufwand von insgesamt 5 Stunden als angemessen und legt einen Stundenansatz von Fr. 150.- zugrunde. Gestützt auf die in Betracht zu ziehenden Bemessungsfaktoren (Art. 9-13 VGKE) ist dem Beschwerdeführer zulasten der Vorinstanz eine Parteientschädigung von insgesamt Fr. 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