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E-2966/2020 vom 22. September 2020</w:t>
      </w:r>
    </w:p>
    <w:p>
      <w:r>
        <w:t>Bundesverwaltungsgericht, 2020-09-22, DE</w:t>
      </w:r>
    </w:p>
    <w:p>
      <w:r>
        <w:rPr>
          <w:b/>
        </w:rPr>
        <w:t xml:space="preserve">Quelle: </w:t>
      </w:r>
      <w:r>
        <w:t>https://mcp.opencaselaw.ch/entscheid/bvger_E-2966_2020</w:t>
      </w:r>
    </w:p>
    <w:p>
      <w:r>
        <w:t>FR: TAF E-2966/2020 du 22 septembre 2020</w:t>
      </w:r>
    </w:p>
    <w:p>
      <w:r>
        <w:t>IT: TAF E-2966/2020 del 22 settembre 2020</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Der Beschwerdeführer beantragt, ihm sei die unentgeltliche Rechtspflege mit dem unterzeichneten Rechtsvertreter als unentgeltlichem Prozessbeistand für das Verfahren der Vorinstanz zu gewähren.</w:t>
      </w:r>
    </w:p>
    <w:p>
      <w:r>
        <w:rPr>
          <w:b/>
        </w:rPr>
        <w:t>E. 3.2</w:t>
      </w:r>
    </w:p>
    <w:p>
      <w:r>
        <w:t>Die Vorinstanz gewährte dem Beschwerdeführer in ihrer Verfügung die unentgeltliche Prozessführung und verzichtete auf die Erhebung von Gebühren. Seinen Antrag auf amtliche Rechtsverbeiständung lehnte sie mit der Begründung ab, es handle sich vorliegend nicht um ein Verfahren, in dem sich erhebliche Schwierigkeiten in rechtlicher oder tatsächlicher Hinsicht ergeben würden. Es wäre dem Beschwerdeführer zumutbar gewesen, das Wiedererwägungsgesuch selbst zu stellen und die Unmöglichkeit des Wegweisungsvollzugs zu begründen.</w:t>
      </w:r>
    </w:p>
    <w:p>
      <w:r>
        <w:rPr>
          <w:b/>
        </w:rPr>
        <w:t>E. 3.3</w:t>
      </w:r>
    </w:p>
    <w:p>
      <w:r>
        <w:t>Die Beschwerdeinstanz, ihr Vorsitzender oder der Instruktionsrichter bestellt der Partei einen Anwalt, wenn es zur Wahrung ihrer Rechte notwendig ist (Art. 65 Abs. 2 VwVG). Ein Anspruch auf unentgeltliche Rechtsverbeiständung besteht grundsätzlich, wenn der Fall in rechtlicher oder tatsächlicher Hinsicht Schwierigkeiten bereitet und die gesuchstellende Person nicht fähig ist, sich im Verfahren zurechtzufinden. Wesentlich in diesem Zusammenhang ist namentlich, ob die Person rechtskundig ist (Marcel Maillard, in: Waldmann/Weissenberger (Hrsg), Praxiskommentar Verwaltungsverfahrensgesetz, 2. Auflage 2016, Art. 65 N 37 ff.). Beim Wiedererwägungsgesuch im Asylverfahren handelt es sich um ein ausserordentliches Rechtsmittel, bei welchem im erstinstanzlichen Verfahren und im Beschwerdeverfahren praxisgemäss die Notwendigkeit eines Anwaltes nach Art. 65 Abs. 2 VwVG für die Wahrung der Interessen nur mit Zurückhaltung bejaht wird. Im vorliegenden Fall ist das Wiedererwägungsgesuch mit der Unzulässigkeit und Unmöglichkeit des Wegweisungsvollzugs begründet. Zumindest die Begründung der Unmöglichkeit, welche auch eine Auseinandersetzung mit der entsprechenden Rechtsprechung bedingt, setzt juristische Kenntnisse voraus. Dies hat sich bereits im Verfahren betreffend das erste Wiedererwägungsgesuch des Beschwerdeführers gezeigt. Der Beschwerdeführer liess sich damals vom Verein "ElimOpen Doors" vertreten, welcher Migranten und Asylsuchende unter anderem bei Fragen zum Aufenthaltsrecht berät. Die Vorinstanz trat auf das vom Leiter von "Elim Open Doors" verfasste Wiedererwägungsgesuch nicht ein, weil die Frist zur Stellung des Wiedererwägungsgesuchs verpasst worden und die Begründung des Wiedererwägungsgesuchs nicht ausreichend gewesen sei. Dies zeigt, dass das Verfassen des Wiedererwägungsgesuchs in diesem Einzelfall Schwierigkeiten in rechtlicher und tatsächlicher Hinsicht bot und selbst ein Verein, der im asyl- und ausländerrechtlichen Gebiet tätig ist, überfordert war. Vor diesem Hintergrund kann vom Beschwerdeführer, der ein juristischer Laie mit sprachlichen Schwierigkeiten ist und mit dem schweizerischen Rechtssystem nicht ansatzweise vertraut ist, ausnahmsweise nicht erwartet werden, er könne selbst ein rechtsgenügliches Wiedererwägungsgesuch einreichen. Der Beizug eines Anwalts zur Wahrung seiner Rechte war in diesem Fall notwendig. Die Vorinstanz hat das Gesuch des Beschwerdeführers um amtliche Rechtsverbeiständung demnach zu Unrecht abgelehnt. Sie ist anzuweisen, den Aufwand des Rechtsvertreters des Beschwerdeführers für das vorinstanzliche Verfahren zu entschädigen.</w:t>
      </w:r>
    </w:p>
    <w:p>
      <w:r>
        <w:rPr>
          <w:b/>
        </w:rPr>
        <w:t>E. 4.1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w:t>
      </w:r>
    </w:p>
    <w:p>
      <w:r>
        <w:rPr>
          <w:b/>
        </w:rPr>
        <w:t>E. 5.1</w:t>
      </w:r>
    </w:p>
    <w:p>
      <w:r>
        <w:t>Der Beschwerdeführer macht geltend, der Vorinstanz obliege die Pflicht, ihren Entscheid so zu begründen, dass die betroffene Person im Beschwerdeverfahren auf die Begründung Bezug nehmen könne. Die Vor-instanz habe die Frage der Zulässigkeit und Zumutbarkeit eines Vollzugs der Wegweisung gar nicht überprüft, obwohl er sich im Wiedererwägungsgesuch ausführlich dazu geäussert habe. Dadurch habe sie seinen Anspruch auf rechtliches Gehör verletzt.</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beantragte im Wiedererwägungsgesuch vom 8. April 2020 zwar nur die vorläufige Aufnahme wegen Unmöglichkeit des Wegweisungsvollzugs. In der Begründung führte er jedoch einlässlich aus, dass der Vollzug der Wegweisung wegen neuer Umstände auch unzulässig und unzumutbar sei. Die Vorinstanz ist in ihrer Verfügung nicht darauf eingegangen. Sie begründete ausschliesslich die Möglichkeit des Wegweisungsvollzugs. Dem Beschwerdeführer war es dadurch nicht möglich, die Verfügung sachgerecht anzufechten. Zudem wäre es wünschenswert gewesen, wenn die Vorinstanz in ihrer Begründung die Rechtsprechung des Bundesverwaltungsgerichts betreffend Möglichkeit des Wegweisungsvollzugs (insbesondere BVGE 2008/34 E. 12 m.w.H.) berücksichtigt hätte. Indem die Vorinstanz sich mit wesentlichen Vorbringen des Beschwerdeführers nicht auseinandergesetzt hat, verletzte sie ihre Begründungspflicht und damit das rechtliche Gehör des Beschwerdeführers.</w:t>
      </w:r>
    </w:p>
    <w:p>
      <w:r>
        <w:rPr>
          <w:b/>
        </w:rPr>
        <w:t>E. 6</w:t>
      </w:r>
    </w:p>
    <w:p>
      <w:r>
        <w:t>Das Bundesverwaltungsgericht entscheidet in der Regel reformatorisch. Nur ausnahmsweise wird eine angefochtene Verfügung kassiert und an die Vorinstanz zurückgewiesen. Vorliegend hat die Vorinstanz das rechtliche Gehör des Beschwerdeführers verletzt. Da es nicht Sache des Bundesverwaltungsgerichts ist, sich als Beschwerdeinstanz als erste und einzige Instanz zu neuen Vorbringen betreffend die Zulässigkeit und Zumutbarkeit des Wegweisungsvollzugs zu äussern, rechtfertigt sich die Kassation der angefochtenen Verfügung. Die Beschwerde ist daher gutzuheissen. Die Verfügung vom 6. Mai 2020 ist aufzuheben und die Sache ist im Sinne der Erwägungen zur Gewährung des rechtlichen Gehörs und zur Neubeurteilung an die Vorinstanz zurückzuweisen.</w:t>
      </w:r>
    </w:p>
    <w:p>
      <w:r>
        <w:rPr>
          <w:b/>
        </w:rPr>
        <w:t>E. 7.1</w:t>
      </w:r>
    </w:p>
    <w:p>
      <w:r>
        <w:t>Der Beschwerdeführer hat mit seiner Beschwerde vollständig obsiegt. 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eine Honorarnote in der Höhe von Fr. 3'645.07 (inkl. Auslagen und Mehrwertsteuerzuschlag) ein. Der veranschlagte Stundenansatz von Fr. 250.- ist nicht zu beanstanden. Indes erscheint der geltend gemachte Stundenaufwand zu hoch. Das Wiedererwägungsgesuch vom 8. April 2020 und die Beschwerdeschrift basieren auf denselben Akten. Die Abklärungen für das Verfassen der beiden Eingaben sowie deren Inhalt sind teils identisch. Folglich ist der Aufwand für die Recherchen zur aktuellen Situation in der FATA und zur Funktion von NADRA sowie für das Verfassen der Beschwerdeschrift zu reduzieren. Ein Aufwand von 10,5 Stunden erscheint angemessen. Dies ergibt einen Betrag von Fr. 2'860.- (inkl. Auslagen und Mehrwertsteuerzuschlag i.S.v. Art. 9 Abs. 1 Bst. c VGKE). Dieser Betrag ist dem Beschwerdeführer zul asten der Vor-instanz als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