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E-2965/2019 vom 28. Juni 2019</w:t>
      </w:r>
    </w:p>
    <w:p>
      <w:r>
        <w:t>Bundesverwaltungsgericht, 2019-06-28, DE</w:t>
      </w:r>
    </w:p>
    <w:p>
      <w:r>
        <w:rPr>
          <w:b/>
        </w:rPr>
        <w:t xml:space="preserve">Quelle: </w:t>
      </w:r>
      <w:r>
        <w:t>https://mcp.opencaselaw.ch/entscheid/bvger_E-2965_2019</w:t>
      </w:r>
    </w:p>
    <w:p>
      <w:r>
        <w:t>FR: TAF E-2965/2019 du 28 juin 2019</w:t>
      </w:r>
    </w:p>
    <w:p>
      <w:r>
        <w:t>IT: TAF E-2965/2019 del 28 giugno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Zur Begründung des ablehnenden Asylentscheids qualifizierte die Vorinstanz die Asylvorbringen des Beschwerdeführers als nicht glaubhaft. Schwer vorstellbar sei, dass er seit seiner Jugend mehrere homosexuelle Beziehungen unterhalten habe, ohne dass dies in der Familie je besprochen worden sei. Dass er seit seiner Kindheit aufgrund seines Verhaltens Schikanen ausgesetzt gewesen sei oder dies einzelnen Lehrpersonen bekannt gewesen sei, jedoch niemand in der Familie dieses Thema angesprochen habe, sei kaum nachvollziehbar. Aus logischen Gesichtspunkten sei nicht glaubhaft, seine Familie habe seine homosexuellen Beziehungen nicht mitbekommen. Es erscheine realitätsfremd, dass er seine Homosexualität einzig dadurch habe verstecken können, indem er sich in einschlägigen Bars getroffen habe. Ebenfalls realitätsfremd sei, dass er seine Beziehung zu seinem Partner als bis anhin wichtigste Beziehung in seinem Leben bezeichne, jedoch kaum etwas unternommen haben will, um etwas über dessen Verbleib herauszufinden. Weshalb er seinen Partner seinem Schicksal überlassen habe und nach Europa geflüchtet sei, anstatt an einem sicheren Ort abzuwarten, wie sich die Lage entwickeln würde, bleibe schleierhaft. Seine Schilderungen bezüglich der Vorkommnisse, die zu seiner Ausreise geführt hätten, seien ebenfalls in weiten Teilen unlogisch. Es stelle sich die Frage, weshalb ein Wachmann ihm den "Besuch" der Polizei angekündigt haben soll. Seine Schilderungen über die Treffen von Homosexuellen in Hotels und an Partys würden sehr befremdlich wirken vor dem Hintergrund, dass Homosexualität in Nigeria nicht toleriert und behördlich verfolgt werde. Seine Aussagen seien auch hinsichtlich seiner angeblichen Homosexualität und dem damit einhergehenden persönlichen Entwicklungsprozess nicht überzeugend ausgefallen. Seine Antwort auf die Frage, wann ihm seine Homosexualität bewusst geworden sei, habe er mit "ich wurde homosexuell geboren" geantwortet. Diese Antwort weise einen stereotypen Charakter auf. Erfahrungen aus der Forschung würden zeigen, dass die Akzeptanz der eigenen Sexualität einen besonders wichtigen Bestandteil des persönlichen Entwicklungsprozesses darstelle. Seine knappen und unreflektierten Aussagen diesbezüglich seien nur von jemanden zu erwarten, der den komplexen Prozess der Selbstfindung und Selbstwahrnehmung in einer homophoben Gesellschaft nicht persönlich habe durchmachen müssen. Über nationale oder internationale Organisationen, die sich für die Anliegen und Rechte von Homosexuellen einsetzen, habe er kaum etwas berichten können. Auch in Nigeria gebe es Organisationen wie die "Alliance Rights Nigeria" und bekannte Fürsprecher für Homosexualität. Diese hätten ihm bekannt sein müssen, obschon diese aufgrund der verschärften Gesetzgebung mittlerweile aus dem Untergrund operieren oder im Ausland leben würden. In den eingereichten Zeitungsberichten werde er selbst nicht erwähnt und es sei auch nicht klar, auf welche Quellen sich die Artikel stützen würden. Seine Narben würden kaum vom erwähnten Vorfall mit den Dorfwächtern stammen, sondern vermutlich einen anderen Entstehungshintergrund aufweisen.</w:t>
      </w:r>
    </w:p>
    <w:p>
      <w:r>
        <w:rPr>
          <w:b/>
        </w:rPr>
        <w:t>E. 4.2</w:t>
      </w:r>
    </w:p>
    <w:p>
      <w:r>
        <w:t>Der Beschwerdeführer hält demgegenüber im Wesentlichen fest, der vorliegende Fall sei nicht geeignet, um im beschleunigten Verfahren entschieden zu werden. Insbesondere seien die erlittenen Nachteile, die rechtliche Lage und auch die Ländereinschätzung komplex und weitere Abklärungen notwendig. Die Vorinstanz erwähne nicht alle von ihm geltend gemachten Vorfälle beziehungsweise diese seien nicht hinreichend abgeklärt worden. Sie habe sich zum Vorfall im Dorf im Jahr 2016, bei welchem ein Junge starb, er dafür verantwortlich gemacht und von der Polizei festgenommen worden sei, nicht geäussert. Ebenfalls nicht gewürdigt habe sie seine Mitgliedschaft bei der Biafra-Bewegung, die Auseinandersetzung mit den Vorsitzenden der Gemeinde und die diesbezügliche Vorladung auf die Polizeistation. Aufgrund der konkreten Umstände sei es ihm in so kurzer Zeit nicht möglich gewesen, Beweismittel aus Nigeria zu beschaffen. Die Vorinstanz hätte von Amtes wegen weitere Abklärungen vornehmen müssen. Insbesondere hätte sie länderspezifische Informationen einholen, bezüglich seiner Identität die Visadatenbank konsultieren sowie ihm mehr Zeit für die Beweismittelbeschaffung und die Stellungnahme gewähren müssen. Die Zeiten für die Anhörungen seien ausgeschöpft worden. Die Vorinstanz führe normalerweise halbtägige Anhörungen durch, die um 12:30 Uhr abgebrochen würden. Seine zweite Anhörung habe um 13:20 Uhr geendet. Dadurch habe seine Rechtsvertretung aus zeitlichen Gründen keine Möglichkeit gehabt, ergänzende Fragen zu stellen. Das Bundesverwaltungsgericht habe in einem kürzlich ergangenen Fall darauf hingewiesen, dass komplexe Fälle, welche sich insbesondere durch lange Anhörungen kennzeichnen würden, nicht im beschleunigten Verfahren behandelt werden sollten, da ansonsten die prozessualen Garantien der asylsuchenden Person nicht eingehalten würden. Seine Anträge auf Fristerstreckung um einen Tag zur Stellungnahme, um Zuteilung ins erweiterte Verfahren, um medizinische Abklärung seiner Verletzungen und Narben sowie um Gewährung von mehr Zeit zwecks Beschaffung von Beweismitteln seien von der Vorinstanz ohne Begründung abgelehnt worden. Die Ausführungen der Vorinstanz zur fehlenden Glaubhaftigkeit seiner Aussagen hätten sich häufig in der Aufzählung seiner Antworten erschöpft, deren Inhalt sie für "kaum nachvollziehbar" oder "schwer vorstellbar" befunden habe. Weiter habe sie mit der fehlenden Logik und angeblicher Schleierhaftigkeit argumentiert. Bei der Beurteilung, weshalb er seinen Partner zurückgelassen habe, handle es sich um einen moralischen Vorwurf und nicht um eine juristisch fundierte Begründung im Sinne des VwVG. Die Ausführungen auf Seite 6 und 7 der Verfügung, worin sich die Vorinstanz auf "Erfahrungen aus der Forschung" stütze, seien nicht mit Quellenangaben belegt, und deshalb nicht nachvollziehbar. Dadurch habe die Vorinstanz auch ihre Begründungspflicht verletzt.</w:t>
      </w:r>
    </w:p>
    <w:p>
      <w:r>
        <w:rPr>
          <w:b/>
        </w:rPr>
        <w:t>E. 5.1</w:t>
      </w:r>
    </w:p>
    <w:p>
      <w:r>
        <w:t>Der Beschwerdeführer rügt eine unvollständige Sachverhaltsabklärung und eine Verletzung des rechtlichen Gehörs (Verletzung der Begründungspflicht). Dabei handelt es sich um formelle Rügen, welche vorab zu beurteilen sind, da sie allenfalls geeignet wären,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6.1</w:t>
      </w:r>
    </w:p>
    <w:p>
      <w:r>
        <w:t>Die Vorinstanz hat es unterlassen, die Situation in Nigeria genauer zu recherchieren und gewährte dem Beschwerdeführer keine Gelegenheit, Beweismittel zu beschaffen und einzureichen. Die Vorinstanz prüfte die geltend gemachte Homosexualität nicht genügend und insbesondere auch nicht im Zusammenhang mit dem Länderkontext von Nigeria. Ihre Verfügung basiert in zahlreichen Punkten auf reinen Mutmassungen und Spekulationen. Dem Beschwerdeführer war es auch nicht möglich, sich objektiv mit der Begründung der Verfügung auseinanderzusetzen. Unklar bleibt beispielsweise, weshalb die Antwort des Beschwerdeführers, er sei homosexuell geboren worden und habe dies nicht erlernt, stereotyp sein soll. Die sogenannten "Erfahrungen aus der Forschung" belegte die Vorinstanz nicht mit Quellenangaben. Mit ihrer Erklärung, damit seien allgemeine Erkenntnisse gemeint, die sich nicht auf eine bestimmte wissenschaftliche Publikation beziehen würden, gesteht sie ein, keine wissenschaftlichen Belege für ihre allgemeinen Erkenntnisse zu haben. Weiter führte sie nicht näher aus, weshalb der Beschwerdeführer lediglich zufolge seiner geltend gemachten Homosexualität Organisationen wie die "Alliance Rights Nigeria" und weitere Fürsprecher kennen sollte, zumal sie selbst ausführt, diese würden aufgrund der verschärften Gesetzgebung mittlerweile aus dem Untergrund operieren oder im Ausland leben. Die Vorinstanz nahm sodann selbst eine Begutachtung der Narben des Beschwerdeführers vor und stellte Mutmassungen an, woher diese stammen könnten. Insgesamt beschränkte sich die Vorinstanz fast nur auf die Prüfung der Glaubhaftigkeit der geltend gemachten Homosexualität des Beschwerdeführers. Die weiteren Asylvorbringen erwähnte sie lediglich bei der Zusammenfassung der Aussagen des Beschwerdeführers, prüfte diese jedoch nicht. Auch ihre Ausführungen zum Wegweisungsvollzug fielen äusserst knapp aus und sie zog keine Länderinformationen zu Nigeria bei der Prüfung der Zumutbarkeit des Wegweisungsvollzugs bei.</w:t>
      </w:r>
    </w:p>
    <w:p>
      <w:r>
        <w:rPr>
          <w:b/>
        </w:rPr>
        <w:t>E. 6.2</w:t>
      </w:r>
    </w:p>
    <w:p>
      <w:r>
        <w:t>Der Sachverhalt wurde von der Vorinstanz nicht vollständig erstellt. Zudem verletzt sie ihre Begründungspflicht und damit das rechtliche Gehör des Beschwerdeführers.</w:t>
      </w:r>
    </w:p>
    <w:p>
      <w:r>
        <w:rPr>
          <w:b/>
        </w:rPr>
        <w:t>E. 6.3</w:t>
      </w:r>
    </w:p>
    <w:p>
      <w:r>
        <w:t>Weiter erscheint das vorliegende Verfahren als zu komplex, als dass es im beschleunigten Verfahren hätte behandelt werden können. Bereits die Anhörungen sind sehr ausführlich und die Verfügung der Vorinstanz ebenfalls, obwohl sie nicht den gesamten Sachverhalt erstellt hat. Dies deutet darauf hin, dass es sich nicht um einen einfachen Fall handelt. Die Wahl der Art des erstinstanzlichen Verfahrens ist zwar allein Sache der Vorinstanz (vgl. BVGE 2017 VI/3 Erwägung 9.2.3). Die Behandlung komplexer Fälle in einem beschleunigten Verfahren - bei welchem es definitionsgemäss nicht notwendig ist, längere Anhörungen durchzuführen und mehrere Beweismittel zu bewerten - ist jedoch nicht angezeigt. Dies gilt insbesondere dann, wenn eine umfangreiche Verfügung erlassen wird, gegen die innert nur 7 Arbeitstagen eine Beschwerde eingereicht werden muss (vgl. Botschaft zur Änderung des Asylgesetzes, BBI 7991, 8016 "[...] weil im beschleunigten Verfahren nur einfache Fälle behandelt werden"). Die Behandlung eines komplexen Falles im beschleunigten Verfahren birgt die Gefahr einer Verletzung der Verfahrensgarantien der asylsuchenden Person und zwar unabhängig davon, inwieweit das Prozessergebnis rechtlich liquid erscheinen könnte (vgl. Urteil des BVGer D-2056/2019, D-2007/2019, D-2083/2019, D-2189/2019 vom 21. Mai 2019 E. 8.1). Es scheint angezeigt, den vorliegenden Fall im erweiterten Verfahren zu behandeln.</w:t>
      </w:r>
    </w:p>
    <w:p>
      <w:r>
        <w:rPr>
          <w:b/>
        </w:rPr>
        <w:t>E. 7</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und der Verletzung des rechtlichen Gehörs des Beschwerdeführers. Unter den vorliegenden Umständen rechtfertigt sich gemäss Praxis des Bundesverwaltungsgerichts die Kassation der angefochtenen Verfügung. Dem Beschwerdeführer bleibt auf diese Weise der Instanzenzug erhalten, was umso wichtiger ist, als im Asylverfahren das Bundesverwaltungsgericht letztinstanzlich entscheidet (vgl. dazu BVGE 2009/53 E. 7.3, BVGE 2008/47 E. 3.3.4, BVGE 2008/14 E. 4.1).</w:t>
      </w:r>
    </w:p>
    <w:p>
      <w:r>
        <w:rPr>
          <w:b/>
        </w:rPr>
        <w:t>E. 8</w:t>
      </w:r>
    </w:p>
    <w:p>
      <w:r>
        <w:t>Nach dem Gesagten ist die Beschwerde gutzuheissen, die angefochtene Verfügung vom 3. Juni 2019 aufzuheben und die Sache zur neuen Entscheidung an die Vorinstanz zurückzuweisen.</w:t>
      </w:r>
    </w:p>
    <w:p>
      <w:r>
        <w:rPr>
          <w:b/>
        </w:rPr>
        <w:t>E. 9</w:t>
      </w:r>
    </w:p>
    <w:p>
      <w:r>
        <w:t>Bei diesem Ausgang des Verfahrens sind keine Kosten zu erheben (Art. 63 Abs. 1 und 2 VwVG). Das Gesuch um Verzicht auf die Erhebung von Verfahrenskosten nach Art. 65 Abs. 1 VwVG ist somit gegenstandslos geworden.</w:t>
      </w:r>
    </w:p>
    <w:p>
      <w:r>
        <w:rPr>
          <w:b/>
        </w:rPr>
        <w:t>E. 10</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