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E-2964/2009 vom 3. November 2010</w:t>
      </w:r>
    </w:p>
    <w:p>
      <w:r>
        <w:t>Bundesverwaltungsgericht, 2010-11-03, DE</w:t>
      </w:r>
    </w:p>
    <w:p>
      <w:r>
        <w:rPr>
          <w:b/>
        </w:rPr>
        <w:t xml:space="preserve">Quelle: </w:t>
      </w:r>
      <w:r>
        <w:t>https://mcp.opencaselaw.ch/entscheid/bvger_E-2964_2009</w:t>
      </w:r>
    </w:p>
    <w:p>
      <w:r>
        <w:t>FR: TAF E-2964/2009 du 3 novembre 2010</w:t>
      </w:r>
    </w:p>
    <w:p>
      <w:r>
        <w:t>IT: TAF E-2964/2009 del 3 novembre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berührt, haben ein schutzwürdiges Interesse an deren Aufhebung beziehungs-weise Änderung und sind daher zur Einreichung der Beschwerde legitimiert (Art. 105 AsylG i.V.m. Art. 48 Abs. 1 und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Wiedererwägung wird im Gegensatz zur Revision im VwVG nicht explizit geregelt. Grundsätzlich stellt ein Wiedererwägungsgesuch ei-nen blossen Rechtsbehelf dar, auf dessen Behandlung durch die ver-fügende Behörde kein Anspruch besteht. Unter bestimmten Vorausset-zungen wird aber vom Bundesgericht aus Art. 29 Abs. 1 und 2 der Bundesverfassung der Schweizerischen Eidgenossenschaft vom 18. April 1999 (BV, SR 101; vgl. dazu BGE 127 I 137 E. 6) ein verfas-sungsmässiger Anspruch auf Wiedererwägung abgeleitet. Danach ist auf ein Wiedererwägungsgesuch einzutreten, wenn erhebliche Tatsa-chen oder Beweismittel geltend gemacht werden, die im früheren Ver-fahren nicht bekannt waren oder damals noch nicht geltend gemacht werden konnten, oder aber wenn sich die Umstände seit dem ersten Entscheid wesentlich geändert haben (vgl. dazu die nach wie vor gül-tigen und zutreffenden Ausführungen in den Entscheidungen und Mit-teilungen der Schweizerischen Asylrekurskommission [EMARK] 2003 Nr. 7). Bei einem Nichteintretensentscheid des BFM wegen mangelnder Sub-stanziierung des Wiedererwägungsgesuches prüft das Bundesverwal-tungsgericht einzig, ob das Bundesamt zu Recht auf das Gesuch nicht eingetreten ist. Bei der materiellen Abweisung des Wiedererwägungs-gesuches durch das Bundesamt besteht volle Kognition. Geprüft wird aber nur im Umfang des ursprünglichen Wiedererwägungsgesuchs; eine Ausweitung des Prüfungsgegenstandes auf Beschwerdeebene ist nicht möglich. Zu untersuchen ist weiter nur, ob die Veränderung der Sachlage eine Neubeurteilung rechtfertigt, nicht aber, ob die ur-sprüngliche Beurteilung angemessen war.</w:t>
      </w:r>
    </w:p>
    <w:p>
      <w:r>
        <w:rPr>
          <w:b/>
        </w:rPr>
        <w:t>E. 3.1</w:t>
      </w:r>
    </w:p>
    <w:p>
      <w:r>
        <w:t>Die Vorinstanz führte in der angefochtenen Verfügung, mit welcher das Wiedererwägungsgesuch abgewiesen wurde, aus, in Syrien gebe es eine staatliche Krankengrundversorgung. Die medizinische Versor-gung sei regional unterschiedlich, weise aber insbesondere in Damas-kus einen vergleichsweise hohen Standard auf. So würden dort drei staatliche und drei private Herzzentren zur Verfügung stehen. Auch in den anderen grösseren Städten gebe es einen vergleichsweise hohen ärztlichen Versorgungsstandard. Zudem seien die für die Behandlung von Herzerkrankungen erforderlichen Medikamente grundsätzlich vor-handen. Weiter habe der Beschwerdeführer C._____ einen als "Ärztliches Zeugnis" bezeichneten Beleg des Kantonsspitals (...) eingereicht, aus welchem jedoch lediglich hervorgehe, dass er sich zwischen dem 23. und 26. November 2008 in diesem Spital aufgehalten habe und bis zum 28. November 2008 zu 100 Prozent arbeitsunfähig gewesen sei. Ein solches Dokument sei offensichtlich nicht geeignet, ein allfälliges Hindernis des Wegweisungsvollzugs zum heutigen Zeitpunkt (April 2009; Anm. BVGer) zu begründen. Es werde insbesondere auf die entsprechenden Ausführungen in der Verfügung des BFM vom 19. De-zember 2003 und auf jene des Bundesverwaltungsgerichts im Urteil vom 6. November 2008 verwiesen. Die Beschwerdeführenden seien daher auch unter Berücksichtigung ihres angeschlagenen Gesund-heitszustandes nicht auf einen weiteren Verbleib in der Schweiz ange-wiesen. Die Rückkehr sei weiterhin zumutbar. Schliesslich sei auch die von den Beschwerdeführenden eingereichte Petition, mit der sich zahlreiche Personen für deren Verbleib in der Schweiz einsetzen würden, nicht geeignet, die Verfügung vom 19. De-zember 2003 in Wiedererwägung zu ziehen. Gemäss Art. 14 Abs. 2 AsylG falle es nämlich in die Kompetenz der kantonalen Behörden, unter bestimmten Voraussetzungen (Aufenthaltsdauer, fortgeschrittene Integration) - und mit Zustimmung des Bundesamtes - eine Aufent-haltsbewilligung zu erteilen.</w:t>
      </w:r>
    </w:p>
    <w:p>
      <w:r>
        <w:rPr>
          <w:b/>
        </w:rPr>
        <w:t>E. 3.2</w:t>
      </w:r>
    </w:p>
    <w:p>
      <w:r>
        <w:t>In der Beschwerde wird der Vorinstanz entgegengehalten, es handle sich bei den Beschwerdeführenden um aramäische Christen aus der Region X._____. Diese Volksgruppe bilde in Syrien generell eine benachteiligte Minderheit, die von der islamischen Mehr-heitsbevölkerung schikaniert werde. Dies wirke sich insbesondere auf die medizinische Versorgung und auf den Zugang zu spezialisierten medizinischen Dienstleistungen aus, auf welche die Beschwerdefüh-renden angewiesen seien. Es genüge nicht, dass die medizinischen Einrichtungen und die nötigen Medikamente vorhanden seien, viel-mehr sei erforderlich, dass Personen, die auf diese medizinische Ver-sorgung angewiesen seien, auch tatsächlich Zugang zu den benötig-ten medizinischen Dienstleitungen hätten. Es sei offensichtlich, dass sich die Beschwerdeführenden die Behandlung in einem Privatspital in Damaskus nicht leisten könnten. In einem öffentlichen Spital hätten sie jedoch als aramäische Christen keinen Zugang zu spezialisierten Be-handlungseinrichtungen, da diese nur beschränkt vorhanden und in erster Linie der islamischen Mehrheitsbevölkerung zugänglich seien. A.____ habe Ende letzten Jahres einen Herzinfarkt erlitten, was durch ein ärztliches Zeugnis belegt sei; zudem sei er Diabetiker. In einem neueren Zeugnis werde darauf hingewiesen, dass er dauernder medizinischer Betreuung bedürfe. Wie bei Herzpatienten üblich, könne betreffend einen weiteren Herzinfarkt von ärztlicher Seite keine präzise Aussage gemacht werden. Eine allfällige Ausschaffung könne jedoch zu unmittelbaren gesundheitlichen Komplikationen führen. Wegen der mangelhaften Behandlungsmöglichkeit in Syrien liege bei der Rück-kehr der Beschwerdeführenden eine konkrete Gefährdung vor, welche durch die Gewährung der vorläufigen Aufnahme abgewendet werden könne. Es sei auch zu berücksichtigen, dass die Beschwerdeführen-den schon beinahe sechs Jahre in der Schweiz leben würden und sehr gut in die hiesigen Verhältnisse integriert seien. Zum Beleg werde unter anderem auf die Empfehlungsschreiben und auf die eingereich-ten Arbeitszeugnisse verwiesen.</w:t>
      </w:r>
    </w:p>
    <w:p>
      <w:r>
        <w:rPr>
          <w:b/>
        </w:rPr>
        <w:t>E. 4.1.1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4.1.3</w:t>
      </w:r>
    </w:p>
    <w:p>
      <w:r>
        <w:t>Es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4.2.1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4.2.2</w:t>
      </w:r>
    </w:p>
    <w:p>
      <w:r>
        <w:t>Gründe ausschliesslich medizinischer Natur lassen den Weg-weisungsvollzug im Allgemeinen nicht als unzumutbar erscheinen, es sei denn, die erforderliche Behandlung sei wesentlich und im Heimat-land nicht erhältlich. Dabei wird als wesentlich die allgemeine und dringliche medizinische Behandlung erachtet, welche zur Gewährleis-tung einer menschenwürdigen Existenz absolut notwendig ist (BVGE 2009/2 E. 9.3.2 mit weiterem Hinweis).</w:t>
      </w:r>
    </w:p>
    <w:p>
      <w:r>
        <w:rPr>
          <w:b/>
        </w:rPr>
        <w:t>E. 4.2.3</w:t>
      </w:r>
    </w:p>
    <w:p>
      <w:r>
        <w:t>In Syrien herrscht zur Zeit weder Krieg oder Bürgerkrieg noch liegt eine Situation allgemeiner Gewalt vor. Das Zusammenleben der muslimischen Mehrheit mit der christlichen Minderheit ist vorwiegend friedlich geprägt, und gelegentliche Schikanen seitens der kurdischen oder arabischen Bevölkerung gegenüber der christlichen Minderheit sind nicht in einem Ausmass vorhanden, wonach eine Rückkehr als unzumutbar betrachtet werden müsste. Es steht fest, dass in Syrien die für die Beschwerdeführenden er-forderliche Behandlung verfügbar wäre. Diese bringen jedoch vor, sie könnten sich die Behandlung in einem Privatspital in Damaskus nicht leisten. In einem öffentlichen Spital hätten sie aber als aramäische Christen keinen Zugang zu spezialisierten Behandlungseinrichtungen, da diese nur beschränkt vorhanden und in erster Linie der islamischen Mehrheitsbevölkerung zugänglich seien. Diese Behauptung deckt sich nicht mit den Ausführungen der von der Schweizerischen Botschaft in Damaskus beauftragten Vertrauensärztin. In ihrer Antwort vom 20. Februar 2010 führte sie aus, dass aramäische Christen in der ge-nannten Region hinsichtlich der medizinischen Versorgung die glei-chen Rechte hätten wie Staatsangehörige muslimischer Religions-zugehörigkeit und diesbezüglich nicht diskriminiert würden. Hinsichtlich der angeblich guten Integration der Beschwerdeführenden in der Schweiz ist auf Art. 14 Abs. 2 AsylG zu verwiesen, wonach der Kanton (mit Zustimmung des Bundesamtes) einer nach diesem Gesetz zugewiesenen Person unter gewissen Voraussetzungen eine Aufent-haltsbewilligung erteilen kann.</w:t>
      </w:r>
    </w:p>
    <w:p>
      <w:r>
        <w:rPr>
          <w:b/>
        </w:rPr>
        <w:t>E. 4.2.4</w:t>
      </w:r>
    </w:p>
    <w:p>
      <w:r>
        <w:t>Das Bundesverwaltungsgericht erachtet demnach den Vollzug der Wegweisung als zumutbar. Die mit Eingabe vom 1. November 2010 eingereichten weiteren Beweismittel vermögen an dieser Feststellung nichts zu ändern; schliesslich ist der Gegenstand des vorliegenden Verfahrens einzig der Vollzug der Wegweisung im Rahmen eines beim BFM anhängig gemachten Wiedererwägungsgesuchs (Erw. 2).</w:t>
      </w:r>
    </w:p>
    <w:p>
      <w:r>
        <w:rPr>
          <w:b/>
        </w:rPr>
        <w:t>E. 4.3</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5</w:t>
      </w:r>
    </w:p>
    <w:p>
      <w:r>
        <w:t>Die Vorinstanz hat den Vollzug der Wegweisung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Beschwerdeführenden aufzuerlegen (Art. 63 Abs. 1 VwVG). An dieser Stelle ist über das mit Einreichung der Beschwerde gestellte Gesuch um Gewährung der unentgeltlichen Prozessführung im Sinne von Art. 65 Abs. 1 VwVG, dessen Behandlung auf später verschoben wurde, zu befinden. Da die Bedürftigkeit erstellt ist - die Beschwerdeführenden beziehen Nothilfe - und die Rechtsmittelbegehren nicht als aussichts-los im Sinne des Gesetzes bezeichnet werden konnten, ist das Ge-such gutzuheissen. Infolge der Gutheissung des Gesuchs um Gewäh-rung der unentgeltlichen Prozessführung wird jedoch praxisgemäss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