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E-295/2022 vom 26. Januar 2022</w:t>
      </w:r>
    </w:p>
    <w:p>
      <w:r>
        <w:t>Bundesverwaltungsgericht, 2022-01-26, DE</w:t>
      </w:r>
    </w:p>
    <w:p>
      <w:r>
        <w:rPr>
          <w:b/>
        </w:rPr>
        <w:t xml:space="preserve">Quelle: </w:t>
      </w:r>
      <w:r>
        <w:t>https://mcp.opencaselaw.ch/entscheid/bvger_E-295_2022</w:t>
      </w:r>
    </w:p>
    <w:p>
      <w:r>
        <w:t>FR: TAF E-295/2022 du 26 janvier 2022</w:t>
      </w:r>
    </w:p>
    <w:p>
      <w:r>
        <w:t>IT: TAF E-295/2022 del 26 gennaio 2022</w:t>
      </w:r>
    </w:p>
    <w:p>
      <w:pPr>
        <w:pStyle w:val="Heading2"/>
      </w:pPr>
      <w:r>
        <w:t>Regeste</w:t>
      </w:r>
    </w:p>
    <w:p>
      <w:r>
        <w:t>Nichteintreten auf Asylgesuch und Wegweisung (Dublin-Verfahren)</w:t>
      </w:r>
    </w:p>
    <w:p>
      <w:pPr>
        <w:pStyle w:val="Heading2"/>
      </w:pPr>
      <w:r>
        <w:t>Erwägungen</w:t>
      </w:r>
    </w:p>
    <w:p>
      <w:r>
        <w:rPr>
          <w:b/>
        </w:rPr>
        <w:t>E. 18</w:t>
      </w:r>
    </w:p>
    <w:p>
      <w:r>
        <w:t>Oktober 2021 E. 9.2 sowie E- 962/2019 vom 17. Dezember 2019 E. 6.3, vgl. auch Urteil D-2846/2020 vom 16. Juli 2020 E. 6.1), dass der Wunsch des Beschwerdeführers, in der Schweiz leben zu wollen um in der Nähe, seiner [Verwandten] zu sein, zwar nachvollziehbar aber nicht zuständigkeitsbegründend ist, weil es sich bei diesen nicht um Fami- lienangehörige im Sinne von Art. 2 Bst. g Dublin-III-VO i.V.m. Art. 9 Dublin- III-VO handelt,</w:t>
      </w:r>
    </w:p>
    <w:p>
      <w:r>
        <w:t>E-295/2022 Seite 6 dass sodann aus den Akten auch kein Abhängigkeitsverhältnis ersichtlich ist, welches einer Überstellung des Beschwerdeführers nach Italien entge- genstehen würde, dass er zwar im Oktober 2021 angab, wegen des im Heimatland Erlebten psychisch stark angeschlagen zu sein, aber bis heute keinen Arztbericht eingereicht hat und auch der Beschwerde keine derartigen Gesundheits- probleme mehr zu entnehmen sind, weshalb auch in diesem Zusammen- hang kein Abhängigkeitsverhältnis zu erkennen ist, dass weder ersichtlich ist noch vorgetragen wird, weshalb es dem Be- schwerdeführer nach Überstellung nach Italien nicht möglich sein sollte, mit seinen in der Schweiz aufenthaltsberechtigten Verwandten in Kontakt zu bleiben,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seinem Vorbringen, er habe in Italien ent- würdigende Behandlungen erlebt und beobachtet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w:t>
      </w:r>
    </w:p>
    <w:p>
      <w:r>
        <w:t>E-295/2022 Seite 7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die Ausübung des Selbsteintritts- rechts gemäss Art. 17 Dublin-III-VO respektive Art. 29a Abs. 3 AsylV 1 be- steht,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schliesslich der Vollständigkeit halber darauf hinzuweisen ist, dass allfällige Verzögerungen bei der Überstellung nach Italien aufgrund der herrschenden Situation im Zusammenhang mit der COVID-19-Pandemie – gemäss aktuellem Kenntnisstand – lediglich temporäre Vollzugshinder- nisse darstellen und am Ausgang des vorliegenden Verfahrens nichts zu ändern vermögen (vgl. Urteil des BVGer D-139/2020 vom 19. Juni 2020 E. 9.6 m.w.H.),</w:t>
      </w:r>
    </w:p>
    <w:p>
      <w:r>
        <w:t>E-295/2022 Seite 8 dass die Beschwerde aus diesen Gründen abzuweisen ist, soweit darauf einzutreten ist, dass das Beschwerdeverfahren mit vorliegendem Urteil abgeschlossen ist, weshalb sich die Anträge auf Gewährung der aufschiebenden Wirkung so- wie auf Verzicht auf die Erhebung eines Kostenvorschusses als gegen- standslos erweisen, dass das mit der Beschwerde gestellte Gesuch um Gewährung der unent- geltlichen Rechtspflege abzuweisen ist, da die Begehren – wie sich aus den vorstehenden Erwägungen ergibt – als aussichtlos zu bezeichnen wa- ren, weshalb die Voraussetzungen von Art. 65 Abs. 1 VwVG i.V.m. Art. 102m Abs. 1 Bst. a und Abs. 4 AsylG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E-295/2022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