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E-2956/2019 vom 16. Juli 2017</w:t>
      </w:r>
    </w:p>
    <w:p>
      <w:r>
        <w:t>Bundesverwaltungsgericht, 2017-07-16, DE</w:t>
      </w:r>
    </w:p>
    <w:p>
      <w:r>
        <w:rPr>
          <w:b/>
        </w:rPr>
        <w:t xml:space="preserve">Quelle: </w:t>
      </w:r>
      <w:r>
        <w:t>https://mcp.opencaselaw.ch/entscheid/bvger_E-2956_2019</w:t>
      </w:r>
    </w:p>
    <w:p>
      <w:r>
        <w:t>FR: TAF E-2956/2019 du 16 juillet 2017</w:t>
      </w:r>
    </w:p>
    <w:p>
      <w:r>
        <w:t>IT: TAF E-2956/2019 del 16 luglio 2017</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mit nachfolgendem Vorbehalt - einzutreten (aArt. 108 Abs. 1 AsylG und Art. 52 Abs. 1 VwVG).</w:t>
      </w:r>
    </w:p>
    <w:p>
      <w:r>
        <w:rPr>
          <w:b/>
        </w:rPr>
        <w:t>E. 1.4</w:t>
      </w:r>
    </w:p>
    <w:p>
      <w:r>
        <w:t>Auf den Antrag betreffend Mitteilung der Spruchkörperbildung ist nicht einzutreten (vgl. Teilurteil des BVGer D-1549/2017 vom 2. Mai 2018 E. 4. 3 [zur Publikation vorgesehen]).</w:t>
      </w:r>
    </w:p>
    <w:p>
      <w:r>
        <w:rPr>
          <w:b/>
        </w:rPr>
        <w:t>E. 2</w:t>
      </w:r>
    </w:p>
    <w:p>
      <w:r>
        <w:t>Die Anträge betreffend Mitteilung der Zusammensetzung des Spruchkörpers sowie betreffend Sistierung des Verfahrens werden mit Erlass des vorliegenden Urteils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In der Beschwerde werden verschiedene formelle Rügen erhoben, welche vorab zu beurteilen sind,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eine Verletzung des rechtlichen Gehörs sowie die fehlerhafte Feststellung des Sachverhaltes, da die Vorinstanz trotz veränderter Umstände keine weitere Anhörung durchgeführt habe. Das zweite Asylgesuch wurde nach dem rechtskräftigen Abschluss des ersten Asylverfahrens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seinem 28 Seiten (exkl. Beilagenverzeichnis) umfassenden Gesuch vom 22. August 2018 und den insgesamt weiteren drei Eingaben (inkl. Beschwerdeschrift vom 13. Juni 2019) getan. Sodann handelt es sich beim Rechtsvertreter des Beschwerdeführers um einen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Daran ändert vorliegend auch der Umstand nichts, dass zwischen der letzten Anhörung und dem Erlass der angefochtenen Verfügung rund vier Jahre liegen (vgl. dazu auch Urteil des BVGer E-1277/2018 vom 3. April 2018 E. 4.3). Die Rüge erweist sich als unbegründet.</w:t>
      </w:r>
    </w:p>
    <w:p>
      <w:r>
        <w:rPr>
          <w:b/>
        </w:rPr>
        <w:t>E. 5.4</w:t>
      </w:r>
    </w:p>
    <w:p>
      <w:r>
        <w:t>Weiter rügt der Beschwerdeführer im Zusammenhang mit dem Lagebericht des SEM vom 16. August 2016 eine unvollständige und unrichtige Feststellung des Sachverhaltes. Der Lagebericht des SEM zu Sri Lanka aus dem Jahre 2016 stelle in seinen Kernaussagen auf nicht öffentlich zugängliche Quellen ab und gebe die Situation im Land nicht korrekt wieder. Weiter rügt er sinngemäss, die Vorinstanz habe in ihrem Entscheid die in Sri Lanka stattgefundenen Terroranschläge vom 21. April 2019 ignoriert. Insbesondere mit dem Verweis in der Rechtsmitteleingabe auf nicht offengelegte Referenzen und der darauf basierenden Mutmassung, der Bericht stütze sich auf manipulierte beziehungsweise nicht existierender Quellen, kann die Qualität und Vertrauenswürdigkeit des Berichts betreffend die Lage in Sri Lanka nicht ernsthaft in Frage gestellt werden. In diesem Zusammenhang ist darauf hinzuweisen, dass in früheren Verfahren der vom Rechtsvertreter des Beschwerdeführers öfters gestellte und ähnlich begründete Antrag auf Offenlegung aller nicht öffentlich zugänglichen Quellen des besagten Lagebildes abgewiesen wurden (vgl. z.B. Urteil des BVGer E-5142/2018 vom 13. November 2018 E. 6.1). Die Rüge erweist sich als unbegründet. Weiter kann der Verfügung entnommen werden, dass sich die Vorinstanz in ihren Erwägungen auch mit den Osteranschlägen vom 21. April 2019 auseinandergesetzt hat (vgl. S. 12 der angefochtenen Verfügung), weshalb der Vorwurf, diese würden mit keinem Wort erwähnt, fehlgeht. Eine Verletzung des rechtlichen Gehörs oder eine fehlerhafte Sachverhaltsfeststellung können in diesem Zusammenhang nicht festgestellt werden. Die Vorbringen des Beschwerdeführers, die Vorinstanz gehe fälschlicherweise davon aus, die Lage in Sri Lanka habe sich nach der Regierungskrise wieder beruhigt beziehungsweise die Lage habe sich in der jüngsten Vergangenheit für rückkehrende Personen tamilischer Ethnie verschlechtert, sind als Sachverhaltswürdigungen unter E. 10.3 zu beurteilen.</w:t>
      </w:r>
    </w:p>
    <w:p>
      <w:r>
        <w:rPr>
          <w:b/>
        </w:rPr>
        <w:t>E. 5.5</w:t>
      </w:r>
    </w:p>
    <w:p>
      <w:r>
        <w:t>Soweit der Beschwerdeführer vorbringt, das SEM habe es unter Verletzung der Begründungspflicht beziehungsweise des Anspruchs auf rechtliches Gehör unterlassen, eine Prüfung seiner Situation im Lichte der veränderten Lage in Sri Lanka vorzunehmen, ist dem entgegenzuhalten, dass sich das SEM in der angefochtenen Verfügung sowohl zu den jüngeren Entwicklungen im Land äussert (vgl. S. 7 bis S. 9 der angefochtenen Verfügung) sowie anschliessend eine darauf gestützte Würdigung der konkreten Situation des Beschwerdeführers vornimmt (S. 9 der angefochtenen Verfügung). Diesbezüglich können keine Verletzungen von Verfahrensrechten des Beschwerdeführers festgestellt werden.</w:t>
      </w:r>
    </w:p>
    <w:p>
      <w:r>
        <w:rPr>
          <w:b/>
        </w:rPr>
        <w:t>E. 5.6</w:t>
      </w:r>
    </w:p>
    <w:p>
      <w:r>
        <w:t>Die formellen Rügen erweisen sich insgesamt als unbegründet, weshalb keine Veranlassung besteht, die Sache aus formellen Gründen aufzuheben und an die Vorinstanz zurückzuweisen. Der diesbezügliche Antrag ist abzuweisen.</w:t>
      </w:r>
    </w:p>
    <w:p>
      <w:r>
        <w:rPr>
          <w:b/>
        </w:rPr>
        <w:t>E. 6</w:t>
      </w:r>
    </w:p>
    <w:p>
      <w:r>
        <w:t>Der Beschwerdeführer stellt für den Fall einer materiellen Beurteilung der Beschwerde durch das Bundesverwaltungsgericht den Antrag auf Durchführung einer erneuten Anhörung zu den Asylgründen. Eine erneute Anhörung des Beschwerdeführers erübrigt sich, da der Sachverhalt, wie vorstehend dargelegt, hinreichend erstellt ist.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8</w:t>
      </w:r>
    </w:p>
    <w:p>
      <w:r>
        <w:t>Die Vorinstanz lehnte die mit Eingabe vom 22. August 2018 gestellten Gesuche ab, soweit es darauf eintrat, da die Vorbringen des Beschwerdeführers weder den Anforderungen an das Glaubhaftmachen gemäss Art. 7 AsylG noch denjenigen an die Flüchtlingseigenschaft gemäss Art. 3 AsylG zu genügen vermöchten. Im Zusammenhang mit der fortgeführten exilpolitischen Tätigkeit, welche in der angefochtenen Verfügung als Mehrfachgesuch behandelt wird, führt die Vorinstanz aus, das Bundesverwaltungsgericht habe die Einschätzung des SEM, das exilpolitische Wirken des Beschwerdeführers sei niederschwellig und er weise kein risikobegründendes politisches Profil auf, im Urteil E-1109/2018 vom 29. März 2018 bestätigt. Die behauptete Tätigkeit für die LTTE habe es sodann als asylrechtlich unbedeutend qualifiziert, weshalb es die Glaubhaftigkeit des Vorbringens offen liess. Vor diesem Hintergrund vermöchten die neuen Vorbringen zur Teilnahme an einer Kundgebung am (...) 2018 in F._______, die in diesem Zusammenhang von teilweise schlechter Qualität eingereichten Bilder, die Mitgliedschaft bei der (...) sowie dem Umstand, dass sein (...) einer (...) Führungsriege der (...) angehöre, an dieser Einschätzung nichts zu ändern. Im Übrigen sei davon auszugehen, dass blosse Mitläufer von Massenveranstaltungen als solche erkannt und im Heimatland nicht als Gefahr wahrgenommen würden. Der Beschwerdeführer weise nach wie vor kein politisches Risikoprofil auf, welches ihn als überzeugten Aktivisten mit dem Ziel der Wiederbelebung des Separatismus erscheinen lasse. Bezüglich der Vorbringen zur aktuellen Situation in Sri Lanka, welche die Vorinstanz als Mehrfachgesuch beziehungsweise qualifiziertes Wiedererwägungsgesuch behandelte, führte das SEM aus, gemäss rechtskräftiger Feststellung im Asylentscheid vom 22. Januar 2016 sowie im Urteil vom 29. März 2018 seien die Vorbringen des Beschwerdeführers insgesamt nicht glaubhaft. Es seien keine risikobegründenden Faktoren auszumachen. Die vom Beschwerdeführer geltend gemachten neuen Entwicklungen, die dokumentierten Einzelfälle sowie die eingereichten Beweismittel vermöchten zu keiner anderen Einschätzung der Gefährdungslage des Beschwerdeführers führen. Es würden keine zusätzlichen Risikofaktoren vorliegen. Im Übrigen habe sich die Situation im Zusammenhang mit der Regierungskrise durch die Wiedervereidigung von Ranil Wickremesinghe beruhigt und es sei keine Zunahme gezielter Verfolgungsmassnahmen zu verzeichnen. Weiter führte die Vorinstanz aus, bei der beantragten Ausstellung von Ersatzreisepapieren bei den sri-lankischen Behörden handle es sich um ein standardisiertes Verfahren, welches durch das Abkommen zwischen dem Schweizerischen Bundesrat und der Regierung der Demokratischen Sozialistischen Republik Sri Lanka über die Zusammenarbeit im Bereich der Migration vom 4. Oktober 2016 (SR 0.142.117.121, nachfolgend: Migrationsabkommen) geregelt sei. Bei der Übermittlung der Daten habe man sich an den rechtlich vorgegebenen Rahmen gehalten, zumal die datenschutzrechtlichen Bestimmungen im Asylgesetz als lex specialis dem Datenschutzgesetz vorgehen würden. Sodann seien Gesuche um Auskunft über die Verwendung der vom SEM übermittelten Daten direkt bei den sri-lankischen Behörden zu stellen. Ferner habe man dem Beschwerdeführer Einsicht in die Vollzugsakten gewährt. Dessen Behauptung, die Akten seien unvollständig, sei eine blosse Mutmassung. Die Vorinstanz weist sodann die Anträge auf Durchführung einer weiteren Anhörung sowie auf Ansetzung einer Frist zur Nachreichung weiterer Dokumente ab. Auf die übrigen Begehren, insbesondere im Zusammenhang mit den vor Erlass des Urteils E-1109/2016 des Bundesverwaltungsgerichts vom 29. März 2018 entstanden Beweismittel, trat die Vorinstanz nicht ein.</w:t>
      </w:r>
    </w:p>
    <w:p>
      <w:r>
        <w:rPr>
          <w:b/>
        </w:rPr>
        <w:t>E. 9.1</w:t>
      </w:r>
    </w:p>
    <w:p>
      <w:r>
        <w:t>In der Rechtsmitteleingabe wird vorab geltend gemacht, entgegen den Ausführungen der Vorinstanz und der Rechtsprechung des Bundesvewaltungsgerichts würden die datenschutzrechtlichen Bestimmungen des Asylgesetzes die Geltung des Datenschutzgesetzes nicht vollständig verdrängen. Die Grundsätze des Bundesgesetzes vom 19. Juni 1992 über den Datenschutz (DSG, SR 235.1) seien im Asylgesetz nicht vollständig verwirklicht. Dies sei schon aus chronologischen Gründen nicht möglich, da die Fassung von Art. 97 AsylG älter sei als diejenige von Art. 6 DSG. Durch die Übermittlung der Daten des Beschwerdeführers sei letztere Bestimmung verletzt worden, da Sri Lanka kein angemessenes Datenschutzniveau vorweisen könne und die Zweckentfremdung aufgrund anderer Verfahren erwiesen sei. Gestützt auf Art. 25 Abs. 1 lit. c DSG sei die Widerrechtlichkeit der Datenbearbeitung festzustellen.</w:t>
      </w:r>
    </w:p>
    <w:p>
      <w:r>
        <w:rPr>
          <w:b/>
        </w:rPr>
        <w:t>E. 9.2</w:t>
      </w:r>
    </w:p>
    <w:p>
      <w:r>
        <w:t>Zu den zwecks Ersatzpapierbeschaffung übermittelten Daten an die sri-lankischen Behörden ist festzuhalten, dass bereits im Grundsatzurteil BVGE 2017 VI/6 E. 4.3.3 festgestellt wurde, dass abgewiesene Asylsuchende durch die Datenübermittlung an die sri-lankischen Behörden und die Vorsprache auf dem sri-lankischen Konsulat nicht gefährdet würden.</w:t>
      </w:r>
    </w:p>
    <w:p>
      <w:r>
        <w:rPr>
          <w:b/>
        </w:rPr>
        <w:t>E. 9.3</w:t>
      </w:r>
    </w:p>
    <w:p>
      <w:r>
        <w:t>Weiter ist festzuhalten, dass das Datenschutzgesetz sowohl im Stand vom 20. Juni 2006 sowie vom 12. Dezember 2006 - und damit noch vor Inkrafttreten der aktuellen Fassung von Art. 97 AsylG am 1. Januar 2007 beziehungsweise 1. Januar 2008 - in Art. 6 DSG die Gleichwertigkeit des Datenschutzes als grundsätzliche Voraussetzung für eine Datenübermittlung ins Ausland vorsah. Die aktuelle Fassung von Art. 97 AsylG wurde durch den Gesetzgeber im Bewusstsein dieses datenschutzrechtlichen Hintergrundes erlassen. Bereits im Urteil D-4294/2018 des Bundesverwaltungsgerichts vom 17. August 2018 wurde unter Verweis auf die Literatur darauf hingewiesen, dass der asylrechtliche Datenschutz vom Gleichwertigkeitsprinzip abweiche (vgl. a.a.O. E. 8. m.w.H.). Der in der Rechtsmitteleingabe erwähnte Art. 6 Abs. 2 DSG, welcher später in Kraft trat, enthält neben Schutzalternativen insbesondere Ausnahmebestimmungen vom Schutzerfordernis, führte aber keine wesentliche Änderung des datenschutzrechtlichen Konzepts ein. In konstanter Praxis (vgl. statt vieler: Urteil des BVGer D-5100/2017 vom 12. April 2018 E. 5.2) wird Art. 97 AsylG als lex specialis zu Art. 6 DSG betrachtet und eine Verletzung der letztgenannten Bestimmung ist demgemäss zu verneinen. Die Übermittlung der Daten bewegt sich in dem durch das Asylgesetz sowie durch das Migrationsabkommen vorgegebenen Rahmen. Der Antrag des Beschwerdeführers auf Feststellung der Widerrechtlichkeit der Übermittlung seiner Personendaten an die sri-lankischen Behörden ist abzuweisen.</w:t>
      </w:r>
    </w:p>
    <w:p>
      <w:r>
        <w:rPr>
          <w:b/>
        </w:rPr>
        <w:t>E. 10.1</w:t>
      </w:r>
    </w:p>
    <w:p>
      <w:r>
        <w:t>Weiter macht der Beschwerdeführer in der Rechtsmitteleingabe geltend, die Vorinstanz habe seine Verbindungen zur LTTE, insbesondere auch seine (...) Beziehung zur Führungsriege des (...), falsch gewürdigt. Das gleiche treffe auf seine exilpolitische Tätigkeit und seinen Aufenthalt im Vanni-Gebiet zu. Sodann gehe die Vorinstanz fälschlicherweise davon aus, die Lage in Sri Lanka habe sich nach der Regierungskrise wieder beruhigt. Die Sicherheits- und Menschenrechtslage habe sich nach den Anschlägen im April 2019 deutlich verschärft. Es sei mit einer Zunahme von Folter und anderen Menschenrechtsverletzungen gegenüber Risikogruppen zu rechnen. Vor diesem Hintergrund hätten die von der Rechtsprechung entwickelten Risikofaktoren verstärkte Geltung. Der Beschwerdeführer gehöre als ehemaliges LTTE-Mitglied ohne gültigen Reisepapiere, mit längerem Aufenthalt in der Diaspoara und exilpolitischer Tätigkeit einer besonderen Risikogruppe an.</w:t>
      </w:r>
    </w:p>
    <w:p>
      <w:r>
        <w:rPr>
          <w:b/>
        </w:rPr>
        <w:t>E. 10.2</w:t>
      </w:r>
    </w:p>
    <w:p>
      <w:r>
        <w:t>Das Bundesverwaltungsgericht stellte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10.3</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9. Juli 2019). Insofern ist mit der Vorinstanz im Ergebnis darin übereinzugehen, dass sich die Lage diesbezüglich wieder beruhigt hat. Die aktuelle Lage in Sri Lanka ist zwar - insbesondere im Nachgang zu den Osteranschlägen im April 2019 - als angespannt und volatil zu beurteilen, es ist aber aufgrund dessen nicht auf eine generell erhöhte Gefährdung von zurückkehrenden sri-lankischen Staatsangehörigen tamilischer Ethnie zu schliessen.</w:t>
      </w:r>
    </w:p>
    <w:p>
      <w:r>
        <w:rPr>
          <w:b/>
        </w:rPr>
        <w:t>E. 10.4</w:t>
      </w:r>
    </w:p>
    <w:p>
      <w:r>
        <w:t>Zur geltend gemachten exilpolitischen Tätigkeit des Beschwerdeführers wurde im Urteil E-1109/2016 des Bundesverwaltungsgerichts vom 29. März 2019 bereits eingehend ausgeführt, seine Mitgliedschaft in einem LTTE-nahen (...), die Mitgliedschaft beim (...), die Teilnahme an (...) und Kundgebungen sowie die dazu vom Beschwerdeführer existierenden Bilder würden nicht befürchten lassen, er sei ins Visier der sri-lankischen Behörden geraten (a.a.O. E. 7.4). Ferner liess das Bundesverwaltungsgericht die Glaubhaftigkeit der geltend gemachten Tätigkeit für die LTTE offen, da diese aufgrund ihrer Niederschwelligkeit ([...] und Tätigkeit als [...]) nicht als geeignet erschien, ein behördliches Interesse an seiner Person zu wecken (a.a.O. E. 7.3 und E. 7.5). Dass er aufgrund seiner angeblichen Tätigkeit für die LTTE gesucht worden sei, wurde als nicht glaubhaft beurteilt (a.a.O. E. 7.2). Im Weiteren wird im Urteil ausgeführt, dass aufgrund seiner tamilischen Ethnie, seiner mehrjährigen Landesabwesenheit und dem Umstand, dass er nur temporäre Reisepapiere besitze, keine Gefährdung abgeleitet werden könne (a.a.O E. 7.5). Diesem niedrigen Gefährdungsprofil des Beschwerdeführers vermögen die neu vorgebrachten Umstände der (...) Beziehung zu einer (...) Führungsriege des (...) sowie die Teilnahme an einer Kundgebung keine entscheidende risikobegründende Kontur hinzuzufügen. Betreffend die Bilder zur erwähnten Kundgebung ist festzuhalten, dass der Beschwerdeführer sowohl im Zeitungsartikel sowie auf dem Screenshot der Website (...) nicht zu erkennen ist. Auf einem dritten Foto (vgl. SEM-Akten B4/1, Beweismittel 3), ist er zwar zu erkennen, wobei jedoch nicht klar ist, ob diese Abbildung überhaupt ins Netz gestellt wurde und ob es sich nicht ebenfalls um eine vergrösserte Abbildung handelt. Darüber hinaus ist in Anlehnung an das Urteil E-1109/2016 des Bundesverwaltungsgerichts vom 29. März 2018 festzuhalten, dass solche Veranstaltungen von zahlreichen in der Schweiz lebenden Tamilen besucht werden und es äusserst unwahrscheinlich ist, dass der Beschwerdeführer durch die Teilnahme ins Visier der sri-lankischen Behörden geraten ist. Die vor dem Beschwerdeurteil entstandenen Berichterstattungen über die strafrechtlichen Untersuchungen zur Finanzierung der LTTE durch das (...) sowie die Erwähnung des (...) Ablegers (...) in einer Blacklist der sri-lankischen Behörden, auf welche der Beschwerdeführer verweist, vermögen daran nichts zu ändern, zumal diese Umstände unter anderem keinen direkten Bezug zum Beschwerdeführer aufweisen. Schliesslich sind bis heute keine weiteren Nachweise für ein exilpolitisches Engagement beim Gericht eingegangen. Unter zusätzlicher Berücksichtigung, dass - entgegen der in der Beschwerde vertretenen Auffassung - aufgrund der jüngsten Entwicklungen in Sri Lanka nicht von einer generell erhöhten Gefährdung von zurückkehrenden sri-lankischen Staatsangehörigen tamilischer Ethnie auszugehen ist (vgl. E. 10.3) und die in der Rechtsmitteleingabe enthaltenen ausschweifigen Schilderungen zu Entwicklungen und Einzelfällen im Heimatland keine konkreten Bezüge zur Situation des Beschwerdeführers herstellen - insbesondere werden in Ziffer 6.2.10 der Beschwerdeschrift lediglich die bekannten Vorbringen des Beschwerdeführers wiederholt - ist im Ergebnis festzuhalten, dass der Beschwerdeführer weiterhin kein asylrechtlich relevantes Risikoprofil aufweist.</w:t>
      </w:r>
    </w:p>
    <w:p>
      <w:r>
        <w:rPr>
          <w:b/>
        </w:rPr>
        <w:t>E. 11</w:t>
      </w:r>
    </w:p>
    <w:p>
      <w:r>
        <w:t>Zusammenfassend hat der Beschwerdeführer nichts vorgebracht, was geeignet wäre, seine Flüchtlingseigenschaft nachzuweisen oder zumindest glaubhaft zu machen. Die Vorinstanz hat die mit Eingabe vom 22. August 2018 gestellten Gesuche zu Recht abgelehnt.</w:t>
      </w:r>
    </w:p>
    <w:p>
      <w:r>
        <w:rPr>
          <w:b/>
        </w:rPr>
        <w:t>E. 12</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14.1</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Aus den Akten ergeben sich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(vgl. auch E. 10.4). Der in der Beschwerde enthaltene Hinweis auf drakonische Strafen im Zusammenhang mit der neuen sri-lanksichen Drogenpolitik lässt nicht auf eine konkrete Gefährdung des Beschwerdeführers schliessen. Nach dem Gesagten ist der Vollzug der Wegweisung sowohl im Sinne der asyl- als auch der völkerrechtlichen Bestimmungen zulässig.</w:t>
      </w:r>
    </w:p>
    <w:p>
      <w:r>
        <w:rPr>
          <w:b/>
        </w:rPr>
        <w:t>E. 14.2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14.2.1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9. Juli.2019; New York Times [NYT]: What We Know and Don't Know About the Sri Lanka Attacks, https://www.nytimes.com/2019/04/22/world/asia/sri-lanka-attacks-bombings-explosions-updates.html?action=click&amp;module=Top% 20Stories&amp; pgtype= Homepage, abgerufen am 9. Juli 2019) nichts zu ändern. So hat auch die Vorinstanz in der angefochtenen Verfügung zutreffend darauf hingewiesen, dass aufgrund der Attentate nicht von einer Situation allgemeiner Gewalt in Sri Lanka auszugehen sei.</w:t>
      </w:r>
    </w:p>
    <w:p>
      <w:r>
        <w:rPr>
          <w:b/>
        </w:rPr>
        <w:t>E. 14.2.2</w:t>
      </w:r>
    </w:p>
    <w:p>
      <w:r>
        <w:t>In Bezug auf das Vorliegen der individuellen Zumutbarkeitskriterien bringt der Beschwerdeführer in der Rechtsmitteleingabe nichts vor, weshalb vollumfänglich auf die Erwägungen in der angefochtenen Verfügung sowie das Urteil E-1109/2016 des Bundesverwaltungsgerichts vom 29. März 2018 verwiesen werden kann. Der Vollzug der Wegweisung ist demnach auch in individueller Hinsicht zumutbar.</w:t>
      </w:r>
    </w:p>
    <w:p>
      <w:r>
        <w:rPr>
          <w:b/>
        </w:rPr>
        <w:t>E. 14.3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14.4</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16.1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16.2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16.3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