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E-2948/2012 vom 14. November 2013</w:t>
      </w:r>
    </w:p>
    <w:p>
      <w:r>
        <w:t>Bundesverwaltungsgericht, 2013-11-14, DE</w:t>
      </w:r>
    </w:p>
    <w:p>
      <w:r>
        <w:rPr>
          <w:b/>
        </w:rPr>
        <w:t xml:space="preserve">Quelle: </w:t>
      </w:r>
      <w:r>
        <w:t>https://mcp.opencaselaw.ch/entscheid/bvger_E-2948_2012</w:t>
      </w:r>
    </w:p>
    <w:p>
      <w:r>
        <w:t>FR: TAF E-2948/2012 du 14 novembre 2013</w:t>
      </w:r>
    </w:p>
    <w:p>
      <w:r>
        <w:t>IT: TAF E-2948/2012 del 14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26. April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vom 4. Oktober 2012, E-4157/2012, E. 4).</w:t>
      </w:r>
    </w:p>
    <w:p>
      <w:r>
        <w:rPr>
          <w:b/>
        </w:rPr>
        <w:t>E. 3.3</w:t>
      </w:r>
    </w:p>
    <w:p>
      <w:r>
        <w:t>Demnach ist die angefochtene Verfügung aufzuheben und die Sache zur vollständigen Sachverhaltsfeststellung und zu neuer Entscheidung an die Vorinstanz zurückzuweisen (unter Beilage der im Beschwerdeverfahren eingereichten Originalurkunden).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geleistete Kostenvorschuss von Fr. 600.- ist dem Beschwerdeführer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lassen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