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E-2947/2014 vom 3. Juni 2014</w:t>
      </w:r>
    </w:p>
    <w:p>
      <w:r>
        <w:t>Bundesverwaltungsgericht, 2014-06-03, DE</w:t>
      </w:r>
    </w:p>
    <w:p>
      <w:r>
        <w:rPr>
          <w:b/>
        </w:rPr>
        <w:t xml:space="preserve">Quelle: </w:t>
      </w:r>
      <w:r>
        <w:t>https://mcp.opencaselaw.ch/entscheid/bvger_E-2947_2014</w:t>
      </w:r>
    </w:p>
    <w:p>
      <w:r>
        <w:t>FR: TAF E-2947/2014 du 3 juin 2014</w:t>
      </w:r>
    </w:p>
    <w:p>
      <w:r>
        <w:t>IT: TAF E-2947/2014 del 3 giugno 2014</w:t>
      </w:r>
    </w:p>
    <w:p>
      <w:pPr>
        <w:pStyle w:val="Heading2"/>
      </w:pPr>
      <w:r>
        <w:t>Regeste</w:t>
      </w:r>
    </w:p>
    <w:p>
      <w:r>
        <w:t>Zuweisung der Asylsuchenden an die Kantone</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Beim Entscheid über die Zuweisung einer asylsuchenden Person an einen Kanton gemäss Art. 27 Abs. 3 AsylG handelt es sich um eine beim Bundesverwaltungsgericht selbständig anfechtbare Zwischenverfügung (Art. 107 Abs. 1 AsylG).</w:t>
      </w:r>
    </w:p>
    <w:p>
      <w:r>
        <w:rPr>
          <w:b/>
        </w:rPr>
        <w:t>E. 1.3</w:t>
      </w:r>
    </w:p>
    <w:p>
      <w:r>
        <w:t>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einschliesslich Missbrauch und Überschreitung des Ermessens, sowie die unrichtige und unvollständige Feststellung des rechtserheblichen Sachverhaltes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27 Abs. 3 letzter Satz AsylG, welcher als lex specialis der allgemeinen Regel von Art. 106 Abs. 1 AsylG vorgeht (Art. 106 Abs. 2 AsylG), kann der Zuweisungsentscheid nur mit der Begründung angefochten werden, er verletze den Grundsatz der Einheit der Familie.</w:t>
      </w:r>
    </w:p>
    <w:p>
      <w:r>
        <w:rPr>
          <w:b/>
        </w:rPr>
        <w:t>E. 3.2</w:t>
      </w:r>
    </w:p>
    <w:p>
      <w:r>
        <w:t>Auf den Schutz von Art. 8 EMRK können sich neben den Mitgliedern der Kernfamilie - also Ehegatten und ihre minderjährigen Kinder - auch weitere nahe Angehörige wie Onkel/Tante und Neffe/Nichte berufen, sofern eine nahe, echte und tatsächlich gelebte Beziehung unter ihnen besteht. Gemäss bundesgerichtlicher Rechtsprechung setzt eine über die eigentliche Kernfamilie hinausgehende schützenswerte verwandtschaftliche Beziehung voraus, dass zwischen diesen Personen ein besonderes Abhängigkeitsverhältnis besteht (vgl. BVGE 2008/47 E. 4.1.1).</w:t>
      </w:r>
    </w:p>
    <w:p>
      <w:r>
        <w:rPr>
          <w:b/>
        </w:rPr>
        <w:t>E. 4.1</w:t>
      </w:r>
    </w:p>
    <w:p>
      <w:r>
        <w:t>Die Vorinstanz gelangt in der angefochtenen Verfügung zum Schluss, dass sich der Beschwerdeführer infolge seiner Volljährigkeit nicht auf den Begriff der Kernfamilie berufen könne und im Weiteren aus den Akten auch keine Abhängigkeit zwischen ihm und seinen Geschwistern ersichtlich sei.</w:t>
      </w:r>
    </w:p>
    <w:p>
      <w:r>
        <w:rPr>
          <w:b/>
        </w:rPr>
        <w:t>E. 5</w:t>
      </w:r>
    </w:p>
    <w:p>
      <w:r>
        <w:t>Was der Beschwerdeführer dagegen vorbringt, ist nicht geeignet, die vorinstanzliche Entscheidung umzustossen. Der Wunsch, aufgrund der seelischen und körperlichen Belastungen durch den Bürgerkrieg in der Nähe der Geschwister leben zu können, ist zwar verständlich, vermag aber per se kein besonderes Abhängigkeitsverhältnis zu begründen. Ebenso wenig ist eine schwerwiegende Gefährdung im Sinne von Art. 22 Abs. 2 der Asylverordnung 1 vom 11. August 1999 (AsylV 1, SR 142.311) zu erkennen, was vom Beschwerdeführer auch nicht geltend gemacht wurde. Es konnte mithin kein gesetzlicher Grund für einen Kantonswechsel vorgebracht werden. Die Vorinstanz weist ausserdem zu Recht darauf hin, dass der Beschwerdeführer und seine Geschwister in Nachbarkantonen und somit nicht weit voneinander entfernt leben. Sie hat somit das Gesuch um einen Kantonswechsel zu Recht abgelehnt.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Der Beschwerdeführer beantragt die Gewährung der unentgeltlichen Prozessführung gemäss Art. 65 Abs. 1 VwVG. Aus den vorstehenden Erwägungen ergibt sich, dass sein Begehren als aussichtslos zu gelten hat. Damit ist eine der kumulativ zu erfüllenden Voraussetzungen zur Gewährung der unentgeltlichen Rechtspflege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Der Antrag auf Verzicht auf die Erhebung eines Kostenvorschusses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