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E-2947/2012 vom 6. Dezember 2013</w:t>
      </w:r>
    </w:p>
    <w:p>
      <w:r>
        <w:t>Bundesverwaltungsgericht, 2013-12-06, DE</w:t>
      </w:r>
    </w:p>
    <w:p>
      <w:r>
        <w:rPr>
          <w:b/>
        </w:rPr>
        <w:t xml:space="preserve">Quelle: </w:t>
      </w:r>
      <w:r>
        <w:t>https://mcp.opencaselaw.ch/entscheid/bvger_E-2947_2012</w:t>
      </w:r>
    </w:p>
    <w:p>
      <w:r>
        <w:t>FR: TAF E-2947/2012 du 6 décembre 2013</w:t>
      </w:r>
    </w:p>
    <w:p>
      <w:r>
        <w:t>IT: TAF E-2947/2012 del 6 dicembre 2013</w:t>
      </w:r>
    </w:p>
    <w:p>
      <w:pPr>
        <w:pStyle w:val="Heading2"/>
      </w:pPr>
      <w:r>
        <w:t>Regeste</w:t>
      </w:r>
    </w:p>
    <w:p>
      <w:r>
        <w:t>Asyl und Wegweisung</w:t>
      </w:r>
    </w:p>
    <w:p>
      <w:pPr>
        <w:pStyle w:val="Heading2"/>
      </w:pPr>
      <w:r>
        <w:t>Erwägungen</w:t>
      </w:r>
    </w:p>
    <w:p>
      <w:r>
        <w:rPr>
          <w:b/>
        </w:rPr>
        <w:t>E. 2</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2.1</w:t>
      </w:r>
    </w:p>
    <w:p>
      <w:r>
        <w:t>Das Verfahren richtet sich nach dem VwVG, dem VGG und dem BGG, soweit das AsylG nichts anderes bestimmt (Art. 37 VGG und Art. 6 AsylG).</w:t>
      </w:r>
    </w:p>
    <w:p>
      <w:r>
        <w:rPr>
          <w:b/>
        </w:rPr>
        <w:t>E. 2.2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2.3</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30. Mai 2011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4.2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Eingabe vom 11. Juni 2012 eine Kostennote (mit Stand der Aufwendungen per 11. Juni 2012) eingereicht. Der Aufwand für die Eingaben vom 5. Juli 2012, 9. Juli 2012, 8. August 2012 und 12. September 2012 sind in dieser Kostennote nicht enthalten. Das Bundesverwaltungsgericht erachtet den in der Kostennote vom 11. Juni 2012 ausgewiesenen zeitlichen Vertretungsaufwand als nicht vollumfänglich angemessen, weshalb er zu reduzieren ist. Namentlich ist zu berücksichtigen, dass etliche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Indessen ist der Arbeitsaufwand für die Eingaben vom 5. Juli 2012, 9. Juli 2012, 8. August 2012 und 12. September 2012 zusätzlich zu entschädigen, zumal sich diese auf die individuelle Situation des Beschwerdeführers beziehen.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